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38"/>
        <w:jc w:val="both"/>
        <w:rPr>
          <w:rFonts w:ascii="Times New Roman" w:hAnsi="Times New Roman" w:cs="Times New Roman"/>
          <w:b/>
          <w:b/>
          <w:bCs/>
          <w:sz w:val="24"/>
          <w:szCs w:val="24"/>
          <w:lang w:val="es-EC"/>
        </w:rPr>
      </w:pPr>
      <w:r>
        <w:rPr>
          <w:rFonts w:cs="Times New Roman" w:ascii="Times New Roman" w:hAnsi="Times New Roman"/>
          <w:b/>
          <w:bCs/>
          <w:sz w:val="24"/>
          <w:szCs w:val="24"/>
          <w:lang w:val="es-EC"/>
        </w:rPr>
        <w:t>Motivación y su influencia en el desempeño académico de los estudiantes de educación básica superior</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238"/>
        <w:jc w:val="both"/>
        <w:rPr>
          <w:rFonts w:ascii="Times New Roman" w:hAnsi="Times New Roman" w:eastAsia="Times New Roman" w:cs="Times New Roman"/>
          <w:b/>
          <w:b/>
          <w:sz w:val="24"/>
          <w:szCs w:val="24"/>
          <w:lang w:val="en-US" w:eastAsia="es-ES"/>
        </w:rPr>
      </w:pPr>
      <w:r>
        <w:rPr>
          <w:rFonts w:eastAsia="Times New Roman" w:cs="Times New Roman" w:ascii="Times New Roman" w:hAnsi="Times New Roman"/>
          <w:b/>
          <w:sz w:val="24"/>
          <w:szCs w:val="24"/>
          <w:lang w:val="en" w:eastAsia="es-ES"/>
        </w:rPr>
        <w:t>Motivation and its influence on the academic performance of students in basic higher education</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Motivación de los estudiantes</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Audrey María Soledispa Rivera</w:t>
      </w:r>
      <w:r>
        <w:rPr>
          <w:rFonts w:cs="Times New Roman" w:ascii="Times New Roman" w:hAnsi="Times New Roman"/>
          <w:bCs/>
          <w:sz w:val="24"/>
          <w:szCs w:val="24"/>
          <w:vertAlign w:val="superscript"/>
          <w:lang w:val="es-EC"/>
        </w:rPr>
        <w:t xml:space="preserve">(1) </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Evelyn Juliana San Andrés Soledispa</w:t>
      </w:r>
      <w:r>
        <w:rPr>
          <w:rFonts w:cs="Times New Roman" w:ascii="Times New Roman" w:hAnsi="Times New Roman"/>
          <w:bCs/>
          <w:sz w:val="24"/>
          <w:szCs w:val="24"/>
          <w:vertAlign w:val="superscript"/>
          <w:lang w:val="es-EC"/>
        </w:rPr>
        <w:t xml:space="preserve">(2) </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Rafael Antonio Soledispa Pin</w:t>
      </w:r>
      <w:r>
        <w:rPr>
          <w:rFonts w:cs="Times New Roman" w:ascii="Times New Roman" w:hAnsi="Times New Roman"/>
          <w:bCs/>
          <w:sz w:val="24"/>
          <w:szCs w:val="24"/>
          <w:vertAlign w:val="superscript"/>
          <w:lang w:val="es-EC"/>
        </w:rPr>
        <w:t>(3)</w:t>
      </w:r>
    </w:p>
    <w:p>
      <w:pPr>
        <w:pStyle w:val="Normal"/>
        <w:spacing w:lineRule="auto" w:line="360" w:before="0" w:after="238"/>
        <w:jc w:val="both"/>
        <w:rPr/>
      </w:pPr>
      <w:r>
        <w:rPr>
          <w:rFonts w:cs="Times New Roman" w:ascii="Times New Roman" w:hAnsi="Times New Roman"/>
          <w:bCs/>
          <w:sz w:val="24"/>
          <w:szCs w:val="24"/>
          <w:lang w:val="es-EC"/>
        </w:rPr>
        <w:t>(1) Unidad Educativa Emilio Bowen Roggiero. Manta. Ecuador. e</w:t>
      </w:r>
      <w:r>
        <w:rPr>
          <w:rFonts w:cs="Times New Roman" w:ascii="Times New Roman" w:hAnsi="Times New Roman"/>
          <w:bCs/>
          <w:sz w:val="24"/>
          <w:szCs w:val="24"/>
          <w:lang w:val="en-US"/>
        </w:rPr>
        <w:t xml:space="preserve">mail: </w:t>
      </w:r>
      <w:hyperlink r:id="rId2">
        <w:r>
          <w:rPr>
            <w:rStyle w:val="EnlacedeInternet"/>
            <w:rFonts w:cs="Times New Roman" w:ascii="Times New Roman" w:hAnsi="Times New Roman"/>
            <w:bCs/>
            <w:sz w:val="24"/>
            <w:szCs w:val="24"/>
            <w:lang w:val="en-US"/>
          </w:rPr>
          <w:t>audreysoledispa5@gmail.com</w:t>
        </w:r>
      </w:hyperlink>
      <w:r>
        <w:rPr>
          <w:rFonts w:cs="Times New Roman" w:ascii="Times New Roman" w:hAnsi="Times New Roman"/>
          <w:bCs/>
          <w:sz w:val="24"/>
          <w:szCs w:val="24"/>
          <w:lang w:val="en-US"/>
        </w:rPr>
        <w:t>, ORCID: https://orcid,org/0000-0001-5707-2708</w:t>
      </w:r>
      <w:r>
        <w:rPr>
          <w:rFonts w:cs="Times New Roman" w:ascii="Times New Roman" w:hAnsi="Times New Roman"/>
          <w:b/>
          <w:bCs/>
          <w:sz w:val="24"/>
          <w:szCs w:val="24"/>
          <w:lang w:val="en-US"/>
        </w:rPr>
        <w:t>.</w:t>
      </w:r>
    </w:p>
    <w:p>
      <w:pPr>
        <w:pStyle w:val="Normal"/>
        <w:spacing w:lineRule="auto" w:line="360" w:before="0" w:after="238"/>
        <w:jc w:val="both"/>
        <w:rPr/>
      </w:pPr>
      <w:r>
        <w:rPr>
          <w:rFonts w:cs="Times New Roman" w:ascii="Times New Roman" w:hAnsi="Times New Roman"/>
          <w:bCs/>
          <w:sz w:val="24"/>
          <w:szCs w:val="24"/>
          <w:lang w:val="es-EC"/>
        </w:rPr>
        <w:t>(2) Unidad Educativa Emilio Bowen Roggiero. Manta. Ecuador.</w:t>
      </w:r>
      <w:r>
        <w:rPr>
          <w:rFonts w:cs="Times New Roman" w:ascii="Times New Roman" w:hAnsi="Times New Roman"/>
          <w:bCs/>
          <w:sz w:val="24"/>
          <w:szCs w:val="24"/>
        </w:rPr>
        <w:t xml:space="preserve"> e</w:t>
      </w:r>
      <w:r>
        <w:rPr>
          <w:rFonts w:cs="Times New Roman" w:ascii="Times New Roman" w:hAnsi="Times New Roman"/>
          <w:bCs/>
          <w:sz w:val="24"/>
          <w:szCs w:val="24"/>
          <w:lang w:val="en-US"/>
        </w:rPr>
        <w:t xml:space="preserve">mail:  </w:t>
      </w:r>
      <w:hyperlink r:id="rId3">
        <w:r>
          <w:rPr>
            <w:rFonts w:cs="Times New Roman" w:ascii="Times New Roman" w:hAnsi="Times New Roman"/>
            <w:color w:val="0000FF"/>
            <w:sz w:val="24"/>
            <w:szCs w:val="24"/>
            <w:u w:val="single"/>
            <w:lang w:val="en-US"/>
          </w:rPr>
          <w:t>eve.jss2020@gmail.com</w:t>
        </w:r>
      </w:hyperlink>
      <w:r>
        <w:rPr>
          <w:rFonts w:cs="Times New Roman" w:ascii="Times New Roman" w:hAnsi="Times New Roman"/>
          <w:bCs/>
          <w:sz w:val="24"/>
          <w:szCs w:val="24"/>
          <w:lang w:val="en-US"/>
        </w:rPr>
        <w:t>, ORCID: https://orcid.org/0000-0003-2464-4663</w:t>
      </w:r>
      <w:r>
        <w:rPr>
          <w:rFonts w:cs="Times New Roman" w:ascii="Times New Roman" w:hAnsi="Times New Roman"/>
          <w:b/>
          <w:bCs/>
          <w:sz w:val="24"/>
          <w:szCs w:val="24"/>
          <w:lang w:val="en-US"/>
        </w:rPr>
        <w:t xml:space="preserve"> </w:t>
      </w:r>
    </w:p>
    <w:p>
      <w:pPr>
        <w:pStyle w:val="Normal"/>
        <w:spacing w:lineRule="auto" w:line="360" w:before="0" w:after="238"/>
        <w:jc w:val="both"/>
        <w:rPr/>
      </w:pPr>
      <w:r>
        <w:rPr>
          <w:rFonts w:cs="Times New Roman" w:ascii="Times New Roman" w:hAnsi="Times New Roman"/>
          <w:bCs/>
          <w:sz w:val="24"/>
          <w:szCs w:val="24"/>
          <w:lang w:val="es-EC"/>
        </w:rPr>
        <w:t>(3) Universidad Laica Eloy Alfaro, Manta-Manabí-Ecuador.</w:t>
      </w:r>
      <w:r>
        <w:rPr>
          <w:rFonts w:cs="Times New Roman" w:ascii="Times New Roman" w:hAnsi="Times New Roman"/>
          <w:bCs/>
          <w:sz w:val="24"/>
          <w:szCs w:val="24"/>
        </w:rPr>
        <w:t xml:space="preserve"> E-mail: </w:t>
      </w:r>
      <w:r>
        <w:rPr>
          <w:rFonts w:cs="Times New Roman" w:ascii="Times New Roman" w:hAnsi="Times New Roman"/>
          <w:bCs/>
          <w:sz w:val="24"/>
          <w:szCs w:val="24"/>
          <w:lang w:val="es-EC"/>
        </w:rPr>
        <w:t xml:space="preserve"> </w:t>
      </w:r>
      <w:hyperlink r:id="rId4">
        <w:r>
          <w:rPr>
            <w:rStyle w:val="EnlacedeInternet"/>
            <w:rFonts w:cs="Times New Roman" w:ascii="Times New Roman" w:hAnsi="Times New Roman"/>
            <w:bCs/>
            <w:sz w:val="24"/>
            <w:szCs w:val="24"/>
            <w:lang w:val="es-EC"/>
          </w:rPr>
          <w:t>rafaels947@hotmail.com</w:t>
        </w:r>
      </w:hyperlink>
      <w:r>
        <w:rPr>
          <w:rFonts w:cs="Times New Roman" w:ascii="Times New Roman" w:hAnsi="Times New Roman"/>
          <w:bCs/>
          <w:sz w:val="24"/>
          <w:szCs w:val="24"/>
          <w:lang w:val="es-EC"/>
        </w:rPr>
        <w:t xml:space="preserve">, https://orcid.org/0000-0002-8058-1364 </w:t>
      </w:r>
    </w:p>
    <w:p>
      <w:pPr>
        <w:pStyle w:val="Normal"/>
        <w:spacing w:lineRule="auto" w:line="360"/>
        <w:ind w:left="426" w:hanging="0"/>
        <w:jc w:val="right"/>
        <w:rPr>
          <w:rFonts w:ascii="Times New Roman" w:hAnsi="Times New Roman" w:cs="Times New Roman"/>
          <w:bCs/>
          <w:sz w:val="24"/>
          <w:szCs w:val="24"/>
          <w:lang w:val="es-EC"/>
        </w:rPr>
      </w:pPr>
      <w:r>
        <w:rPr>
          <w:rFonts w:cs="Times New Roman" w:ascii="Times New Roman" w:hAnsi="Times New Roman"/>
          <w:bCs/>
          <w:sz w:val="24"/>
          <w:szCs w:val="24"/>
          <w:lang w:val="es-EC"/>
        </w:rPr>
        <w:t xml:space="preserve">                                                                     </w:t>
      </w:r>
      <w:r>
        <w:rPr>
          <w:rFonts w:cs="Times New Roman" w:ascii="Times New Roman" w:hAnsi="Times New Roman"/>
          <w:bCs/>
          <w:sz w:val="24"/>
          <w:szCs w:val="24"/>
          <w:lang w:val="es-EC"/>
        </w:rPr>
        <w:t>Contacto:</w:t>
      </w:r>
      <w:r>
        <w:rPr>
          <w:rFonts w:cs="Times New Roman" w:ascii="Times New Roman" w:hAnsi="Times New Roman"/>
          <w:sz w:val="24"/>
          <w:szCs w:val="24"/>
        </w:rPr>
        <w:t xml:space="preserve"> </w:t>
      </w:r>
      <w:hyperlink r:id="rId5">
        <w:r>
          <w:rPr>
            <w:rStyle w:val="EnlacedeInternet"/>
            <w:rFonts w:cs="Times New Roman" w:ascii="Times New Roman" w:hAnsi="Times New Roman"/>
            <w:bCs/>
            <w:sz w:val="24"/>
            <w:szCs w:val="24"/>
            <w:lang w:val="es-EC"/>
          </w:rPr>
          <w:t>audreysoledispa5@gmail.com</w:t>
        </w:r>
      </w:hyperlink>
      <w:r>
        <w:rPr>
          <w:rFonts w:cs="Times New Roman" w:ascii="Times New Roman" w:hAnsi="Times New Roman"/>
          <w:bCs/>
          <w:sz w:val="24"/>
          <w:szCs w:val="24"/>
          <w:lang w:val="es-EC"/>
        </w:rPr>
        <w:t xml:space="preserve"> </w:t>
      </w:r>
    </w:p>
    <w:p>
      <w:pPr>
        <w:pStyle w:val="Normal"/>
        <w:spacing w:lineRule="auto" w:line="360" w:before="0" w:after="240"/>
        <w:jc w:val="both"/>
        <w:rPr>
          <w:rFonts w:ascii="Times New Roman" w:hAnsi="Times New Roman" w:cs="Times New Roman"/>
          <w:b/>
          <w:b/>
          <w:sz w:val="24"/>
          <w:szCs w:val="24"/>
        </w:rPr>
      </w:pPr>
      <w:r>
        <w:rPr>
          <w:rFonts w:cs="Times New Roman" w:ascii="Times New Roman" w:hAnsi="Times New Roman"/>
          <w:b/>
          <w:bCs/>
          <w:sz w:val="24"/>
          <w:szCs w:val="24"/>
          <w:lang w:val="es-EC"/>
        </w:rPr>
        <w:t>Recibido:  9-10-2020              Aprobado: 30-11-2020</w:t>
      </w:r>
    </w:p>
    <w:p>
      <w:pPr>
        <w:pStyle w:val="Normal"/>
        <w:spacing w:lineRule="auto" w:line="360"/>
        <w:jc w:val="both"/>
        <w:rPr>
          <w:rFonts w:ascii="Times New Roman" w:hAnsi="Times New Roman" w:cs="Times New Roman"/>
          <w:b/>
          <w:b/>
          <w:bCs/>
          <w:sz w:val="24"/>
          <w:szCs w:val="24"/>
          <w:lang w:val="es-EC"/>
        </w:rPr>
      </w:pPr>
      <w:r>
        <w:rPr>
          <w:rFonts w:cs="Times New Roman" w:ascii="Times New Roman" w:hAnsi="Times New Roman"/>
          <w:b/>
          <w:bCs/>
          <w:sz w:val="24"/>
          <w:szCs w:val="24"/>
          <w:lang w:val="es-EC"/>
        </w:rPr>
        <w:t>Resumen</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 xml:space="preserve">La motivación es de vital importancia para el aprendizaje de los educandos, porque  constituye el punto de partir para aprender, crea el impulso de actuar y hace posible el aprendizaje. El presente tiene por objetivo determinar el grado de influencia de la motivación en el desempeño académico de los estudiantes. Se emplearon los </w:t>
      </w:r>
      <w:r>
        <w:rPr>
          <w:rFonts w:cs="Times New Roman" w:ascii="Times New Roman" w:hAnsi="Times New Roman"/>
          <w:sz w:val="24"/>
          <w:szCs w:val="23"/>
        </w:rPr>
        <w:t xml:space="preserve">métodos de investigación: empírico, descriptivo e investigativo, se aplicó una entrevista a la psicóloga de la institución y la recolección de datos se hizo mediante la técnica de la encuesta aplicada a 66 estudiantes. </w:t>
      </w:r>
      <w:r>
        <w:rPr>
          <w:rFonts w:cs="Times New Roman" w:ascii="Times New Roman" w:hAnsi="Times New Roman"/>
          <w:bCs/>
          <w:sz w:val="24"/>
          <w:szCs w:val="24"/>
          <w:lang w:val="es-EC"/>
        </w:rPr>
        <w:t xml:space="preserve">Los resultados de los instrumentos demostraron que a los estudiantes les falta determinar sus intereses y necesidades, no se han fijado metas, ni proyectos de vida. Es el docente y los padres de familias que tienen que ayudar a desarrollar las capacidades y habilidades con el fin de prepararlos para la vida y para adquirir el cambio de actitud del educando se debe aplicar una motivación eficaz en el proceso educativo; enseñar hábitos de estudios para que se interesen, valoren la educación y tomen conciencia de que ésta es la única  que sacará del subdesarrollo a la sociedad.  </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
          <w:bCs/>
          <w:sz w:val="24"/>
          <w:szCs w:val="24"/>
          <w:lang w:val="es-EC"/>
        </w:rPr>
        <w:t xml:space="preserve">Palabras Clave: </w:t>
      </w:r>
      <w:r>
        <w:rPr>
          <w:rFonts w:cs="Times New Roman" w:ascii="Times New Roman" w:hAnsi="Times New Roman"/>
          <w:bCs/>
          <w:sz w:val="24"/>
          <w:szCs w:val="24"/>
          <w:lang w:val="es-EC"/>
        </w:rPr>
        <w:t>Motivación, desempeño académico,  enseñanza, aprendizaje, estudiante.</w:t>
      </w:r>
    </w:p>
    <w:p>
      <w:pPr>
        <w:pStyle w:val="Normal"/>
        <w:spacing w:lineRule="auto" w:line="360"/>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 xml:space="preserve">Abstract </w:t>
      </w:r>
    </w:p>
    <w:p>
      <w:pPr>
        <w:pStyle w:val="Normal"/>
        <w:spacing w:lineRule="auto" w:line="360"/>
        <w:jc w:val="both"/>
        <w:rPr>
          <w:rFonts w:ascii="Times New Roman" w:hAnsi="Times New Roman" w:cs="Times New Roman"/>
          <w:bCs/>
          <w:sz w:val="24"/>
          <w:szCs w:val="24"/>
          <w:lang w:val="en-US"/>
        </w:rPr>
      </w:pPr>
      <w:r>
        <w:rPr>
          <w:rFonts w:eastAsia="Times New Roman" w:cs="Times New Roman" w:ascii="Times New Roman" w:hAnsi="Times New Roman"/>
          <w:bCs/>
          <w:color w:val="202124"/>
          <w:sz w:val="24"/>
          <w:szCs w:val="24"/>
          <w:lang w:val="en" w:eastAsia="es-ES"/>
        </w:rPr>
        <w:t>Motivation is vitally important for learners' learning, because it is the starting point for learning, creates the drive to act, and makes learning possible. The objective of this document is to determine the degree of influence of motivation on the academic performance of students. The research methods were used: empirical, descriptive and investigative, an interview was applied to the psychologist of the institution and the data collection was done through the survey technique applied to 66 students. The results of the instruments showed that the students lack to determine their interests and needs, they have not set goals, or life projects. It is the teacher and the parents of families who have to help develop the capacities and abilities in order to prepare them for life and to acquire the change of attitude of the student, an effective motivation must be applied in the educational process; teach study habits so that they are interested, value education and become aware that this is the only one that will bring society out of underdevelopment.</w:t>
      </w:r>
    </w:p>
    <w:p>
      <w:pPr>
        <w:pStyle w:val="Normal"/>
        <w:spacing w:lineRule="auto" w:line="360"/>
        <w:jc w:val="both"/>
        <w:rPr>
          <w:rFonts w:ascii="Times New Roman" w:hAnsi="Times New Roman" w:cs="Times New Roman"/>
          <w:bCs/>
          <w:sz w:val="24"/>
          <w:szCs w:val="24"/>
          <w:lang w:val="en-US"/>
        </w:rPr>
      </w:pPr>
      <w:r>
        <w:rPr>
          <w:rFonts w:cs="Times New Roman" w:ascii="Times New Roman" w:hAnsi="Times New Roman"/>
          <w:bCs/>
          <w:sz w:val="24"/>
          <w:szCs w:val="24"/>
          <w:lang w:val="en-US"/>
        </w:rPr>
        <w:t>Keywords: Motivation, academic performance, teaching, learning, student.</w:t>
      </w:r>
    </w:p>
    <w:p>
      <w:pPr>
        <w:pStyle w:val="Normal"/>
        <w:spacing w:lineRule="auto" w:line="360"/>
        <w:jc w:val="both"/>
        <w:rPr>
          <w:rFonts w:ascii="Times New Roman" w:hAnsi="Times New Roman" w:cs="Times New Roman"/>
          <w:b/>
          <w:b/>
          <w:bCs/>
          <w:sz w:val="24"/>
          <w:szCs w:val="24"/>
          <w:lang w:val="es-EC"/>
        </w:rPr>
      </w:pPr>
      <w:r>
        <w:rPr>
          <w:rFonts w:cs="Times New Roman" w:ascii="Times New Roman" w:hAnsi="Times New Roman"/>
          <w:b/>
          <w:bCs/>
          <w:sz w:val="24"/>
          <w:szCs w:val="24"/>
          <w:lang w:val="es-EC"/>
        </w:rPr>
        <w:t>Introducción</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 xml:space="preserve">En la actualidad es preocupante la falta de interés que demuestran  los estudiantes de la Educación Básica superior, es por esta razón que se ha propuesto investigar sobre esta problemática que afecta a los jóvenes a nivel general  y que les impide el desarrollo de destrezas y habilidades, uno de éstas es la falta de motivación de los educandos en el proceso educativo.  </w:t>
      </w:r>
    </w:p>
    <w:p>
      <w:pPr>
        <w:pStyle w:val="Normal"/>
        <w:spacing w:lineRule="auto" w:line="360"/>
        <w:jc w:val="both"/>
        <w:rPr>
          <w:rFonts w:ascii="Times New Roman" w:hAnsi="Times New Roman" w:cs="Times New Roman"/>
          <w:bCs/>
          <w:sz w:val="24"/>
          <w:szCs w:val="24"/>
          <w:lang w:val="es-EC"/>
        </w:rPr>
      </w:pPr>
      <w:r>
        <w:rPr>
          <w:rFonts w:cs="Times New Roman" w:ascii="Times New Roman" w:hAnsi="Times New Roman"/>
          <w:bCs/>
          <w:sz w:val="24"/>
          <w:szCs w:val="24"/>
          <w:lang w:val="es-EC"/>
        </w:rPr>
        <w:t>La educación debe promover el ejercicio activo de la individualidad del ser y ello solo se produce por la voluntad del querer, esa voluntad hay que estimularla para que mueva todo el proceso de aprendizaje. La motivación crea el impulso de actuar y hace posible la enseñanza aprendizaje del educando.</w:t>
      </w:r>
    </w:p>
    <w:p>
      <w:pPr>
        <w:pStyle w:val="Normal"/>
        <w:spacing w:lineRule="auto" w:line="360"/>
        <w:jc w:val="both"/>
        <w:rPr>
          <w:rFonts w:ascii="Times New Roman" w:hAnsi="Times New Roman" w:cs="Times New Roman"/>
          <w:sz w:val="24"/>
          <w:szCs w:val="23"/>
        </w:rPr>
      </w:pPr>
      <w:r>
        <w:rPr>
          <w:rFonts w:cs="Times New Roman" w:ascii="Times New Roman" w:hAnsi="Times New Roman"/>
          <w:bCs/>
          <w:sz w:val="24"/>
          <w:szCs w:val="24"/>
          <w:lang w:val="es-EC"/>
        </w:rPr>
        <w:t xml:space="preserve"> </w:t>
      </w:r>
      <w:r>
        <w:rPr>
          <w:rFonts w:cs="Times New Roman" w:ascii="Times New Roman" w:hAnsi="Times New Roman"/>
          <w:bCs/>
          <w:sz w:val="24"/>
          <w:szCs w:val="24"/>
          <w:lang w:val="es-EC"/>
        </w:rPr>
        <w:t xml:space="preserve">Al hablar de motivación, consiste en analizar el estado de ánimo que manifiestan los estudiantes en su proceso enseñanza- aprendizaje, de allí que para que un estudiante rinda óptimamente, debe estar bien motivado. Este es un aspecto que aparece de manera recurrente al hablar de causas del desempeño académico,  explica el inicio, dirección y perseverancia hacia un determinado objetivo  </w:t>
      </w:r>
      <w:sdt>
        <w:sdtPr>
          <w:citation/>
        </w:sdtPr>
        <w:sdtContent>
          <w:r>
            <w:rPr>
              <w:rFonts w:cs="Times New Roman" w:ascii="Times New Roman" w:hAnsi="Times New Roman"/>
              <w:bCs/>
              <w:sz w:val="24"/>
              <w:szCs w:val="24"/>
              <w:lang w:val="es-EC"/>
            </w:rPr>
            <w:t>(Usán &amp; Salavera, 2018)</w:t>
          </w:r>
        </w:sdtContent>
      </w:sdt>
      <w:r>
        <w:rPr>
          <w:rFonts w:cs="Times New Roman" w:ascii="Times New Roman" w:hAnsi="Times New Roman"/>
          <w:bCs/>
          <w:sz w:val="24"/>
          <w:szCs w:val="24"/>
          <w:lang w:val="es-EC"/>
        </w:rPr>
        <w:t xml:space="preserve">. </w:t>
      </w:r>
      <w:r>
        <w:rPr>
          <w:rFonts w:cs="Times New Roman" w:ascii="Times New Roman" w:hAnsi="Times New Roman"/>
          <w:sz w:val="24"/>
          <w:szCs w:val="23"/>
        </w:rPr>
        <w:t xml:space="preserve">La motivación es el factor predominante para que el niño, adolescente se sienta a gusto en su proceso educativo; los docentes, padres de familias y estudiantes  deben trabajar en conjunto para  conseguir el éxito del mismo.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3"/>
        </w:rPr>
        <w:t xml:space="preserve">En el ámbito educativo, se define a la motivación como el interés que tiene el estudiante en aprender a aprehender, para así, crear su propio aprendizaje, aplicando actividades activas, dinámicas, y críticas, que le lleven a construir su conocimiento. </w:t>
      </w:r>
      <w:r>
        <w:rPr>
          <w:rFonts w:cs="Times New Roman" w:ascii="Times New Roman" w:hAnsi="Times New Roman"/>
          <w:sz w:val="24"/>
          <w:szCs w:val="24"/>
        </w:rPr>
        <w:t xml:space="preserve">El educando debe estar preparado para lo que demanda la educación del siglo XXI, basándose en el aprender a conocer, aprender a hacer, aprender a vivir juntos y aprender ser, para adquirir un aprendizaje significativo </w:t>
      </w:r>
      <w:sdt>
        <w:sdtPr>
          <w:citation/>
        </w:sdtPr>
        <w:sdtContent>
          <w:r>
            <w:rPr>
              <w:rFonts w:cs="Times New Roman" w:ascii="Times New Roman" w:hAnsi="Times New Roman"/>
              <w:sz w:val="24"/>
              <w:szCs w:val="24"/>
            </w:rPr>
            <w:t>(Pico, 2017)</w:t>
          </w:r>
        </w:sdtContent>
      </w:sdt>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Para Pintrich y García, la motivación es una dimensión que se encuentra vinculada entre sí, formada por la motivación intrínseca o extrínseca, la valoración de las tareas, los sentimientos de autoeficacia, las creencias de control y la ansiedad que hace al educando un ser completo con actitud positiva para su aprendizaje (Gil &amp; Monroy, 2019).  </w:t>
      </w:r>
    </w:p>
    <w:p>
      <w:pPr>
        <w:pStyle w:val="Normal"/>
        <w:spacing w:lineRule="auto" w:line="360"/>
        <w:jc w:val="both"/>
        <w:rPr>
          <w:rFonts w:ascii="Times New Roman" w:hAnsi="Times New Roman" w:cs="Times New Roman"/>
          <w:b/>
          <w:b/>
          <w:sz w:val="24"/>
          <w:szCs w:val="24"/>
        </w:rPr>
      </w:pPr>
      <w:r>
        <w:rPr>
          <w:rFonts w:cs="Times New Roman" w:ascii="Times New Roman" w:hAnsi="Times New Roman"/>
          <w:sz w:val="24"/>
          <w:szCs w:val="24"/>
        </w:rPr>
        <w:t xml:space="preserve">La motivación según González Rey, radica en la subjetividad del individuo y representa la capacidad humana para crear sentidos subjetivos especiales, que simbolizan la forma emocional de toda destreza en el contexto del saber  </w:t>
      </w:r>
      <w:sdt>
        <w:sdtPr>
          <w:citation/>
        </w:sdtPr>
        <w:sdtContent>
          <w:r>
            <w:rPr>
              <w:rFonts w:cs="Times New Roman" w:ascii="Times New Roman" w:hAnsi="Times New Roman"/>
              <w:sz w:val="24"/>
              <w:szCs w:val="24"/>
            </w:rPr>
            <w:t>(Pérez &amp; Arcila, 2020)</w:t>
          </w:r>
        </w:sdtContent>
      </w:sdt>
      <w:r>
        <w:rPr>
          <w:rFonts w:cs="Times New Roman" w:ascii="Times New Roman" w:hAnsi="Times New Roman"/>
        </w:rPr>
        <w:t>.</w:t>
      </w:r>
      <w:r>
        <w:rPr>
          <w:rFonts w:cs="Times New Roman" w:ascii="Times New Roman" w:hAnsi="Times New Roman"/>
        </w:rPr>
        <w:t xml:space="preserve">  </w:t>
      </w:r>
      <w:r>
        <w:rPr>
          <w:rFonts w:cs="Times New Roman" w:ascii="Times New Roman" w:hAnsi="Times New Roman"/>
          <w:sz w:val="24"/>
          <w:szCs w:val="24"/>
        </w:rPr>
        <w:t xml:space="preserve">La motivación es un proceso psicológico que describe el nivel de interés, los motivos y necesidades que se presentan en el hombre.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Las habilidades motivadoras de los docentes han obtenido resultado positivos en los estudiantes, al aplicar estrategias de enseñanza-aprendizaje relevantes e innovadoras; y mejoran significativamente los resultados de aprendizaje, estas son la organización, comprensión, estrategias de apoyo, autoeficacia y sustentan la motivación en el aula </w:t>
      </w:r>
      <w:sdt>
        <w:sdtPr>
          <w:citation/>
        </w:sdtPr>
        <w:sdtContent>
          <w:r>
            <w:rPr>
              <w:rFonts w:cs="Times New Roman" w:ascii="Times New Roman" w:hAnsi="Times New Roman"/>
              <w:sz w:val="24"/>
              <w:szCs w:val="24"/>
            </w:rPr>
            <w:t>(Barca, y otros, 2012)</w:t>
          </w:r>
        </w:sdtContent>
      </w:sdt>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En el aprendizaje de los educando el  docente desempeña un lugar preponderante, porque es él quien influye en los saberes: conocer, hacer, ser y convivir, que adquieren y desarrollan  los jóvenes para conseguir una educación  integral, donde el estudiante esté preparado para competir en este mundo </w:t>
      </w:r>
      <w:sdt>
        <w:sdtPr>
          <w:citation/>
        </w:sdtPr>
        <w:sdtContent>
          <w:r>
            <w:rPr>
              <w:rFonts w:cs="Times New Roman" w:ascii="Times New Roman" w:hAnsi="Times New Roman"/>
              <w:sz w:val="24"/>
              <w:szCs w:val="24"/>
            </w:rPr>
            <w:t>(Ramos &amp; Gómez, 2019)</w:t>
          </w:r>
        </w:sdtContent>
      </w:sdt>
      <w:r>
        <w:rPr>
          <w:rFonts w:cs="Times New Roman" w:ascii="Times New Roman" w:hAnsi="Times New Roman"/>
          <w:sz w:val="24"/>
          <w:szCs w:val="24"/>
        </w:rPr>
        <w:t>.</w:t>
      </w:r>
    </w:p>
    <w:p>
      <w:pPr>
        <w:pStyle w:val="Normal"/>
        <w:spacing w:lineRule="auto" w:line="36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El desempeño académico no es otra cosa que la capacidad del estudiante de expresar lo aprendido y el esfuerzo puesto en su educación, el cual es evaluado de manera formal e informal. Este desempeño se refleja en diversas formas como es la capacidad de resolver problemas, desarrollo de habilidades y destrezas para competir en el mundo laboral, social y global  </w:t>
      </w:r>
      <w:sdt>
        <w:sdtPr>
          <w:citation/>
        </w:sdtPr>
        <w:sdtContent>
          <w:r>
            <w:rPr>
              <w:rFonts w:eastAsia="Times New Roman" w:cs="Times New Roman" w:ascii="Times New Roman" w:hAnsi="Times New Roman"/>
              <w:sz w:val="24"/>
              <w:szCs w:val="24"/>
              <w:lang w:eastAsia="es-ES"/>
            </w:rPr>
            <w:t>(Sulgey, 1997)</w:t>
          </w:r>
        </w:sdtContent>
      </w:sdt>
    </w:p>
    <w:p>
      <w:pPr>
        <w:pStyle w:val="Normal"/>
        <w:spacing w:lineRule="auto" w:line="360"/>
        <w:jc w:val="both"/>
        <w:rPr>
          <w:rFonts w:ascii="Times New Roman" w:hAnsi="Times New Roman" w:cs="Times New Roman"/>
          <w:sz w:val="24"/>
          <w:szCs w:val="24"/>
        </w:rPr>
      </w:pPr>
      <w:r>
        <w:rPr>
          <w:rFonts w:eastAsia="Times New Roman" w:cs="Times New Roman" w:ascii="Times New Roman" w:hAnsi="Times New Roman"/>
          <w:sz w:val="24"/>
          <w:szCs w:val="24"/>
          <w:lang w:eastAsia="es-ES"/>
        </w:rPr>
        <w:t xml:space="preserve">El desempeño académico de los estudiantes está determinado por su potencial cognitivo, pero muchas veces ese potencial no se refleja en su interés académico y se establece la interrogante ¿por qué los jóvenes demuestran un desinterés en sus estudios?, llegando a la conclusión que el descuido y desinterés es por falta de  motivación y esto lleva al educando a obtener bajas notas en su proceso educativo; </w:t>
      </w:r>
      <w:r>
        <w:rPr>
          <w:rFonts w:cs="Times New Roman" w:ascii="Times New Roman" w:hAnsi="Times New Roman"/>
          <w:sz w:val="24"/>
          <w:szCs w:val="24"/>
        </w:rPr>
        <w:t xml:space="preserve">podemos definir a la motivación como el conjunto de conocimientos implicados en la activación, dirección y persistencia de la conducta, el ser humano triunfa cuando es capaz de definir su propósito de vida, desarrolla su capacidad intelectual, afectiva y física  y sobre todo difunde valores en los demás </w:t>
      </w:r>
      <w:sdt>
        <w:sdtPr>
          <w:citation/>
        </w:sdtPr>
        <w:sdtContent>
          <w:r>
            <w:rPr>
              <w:rFonts w:cs="Times New Roman" w:ascii="Times New Roman" w:hAnsi="Times New Roman"/>
              <w:sz w:val="24"/>
              <w:szCs w:val="24"/>
            </w:rPr>
            <w:t>(Margarito, 2019)</w:t>
          </w:r>
        </w:sdtContent>
      </w:sdt>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 presente investigación tiene como objeto </w:t>
      </w:r>
      <w:r>
        <w:rPr>
          <w:rFonts w:cs="Times New Roman" w:ascii="Times New Roman" w:hAnsi="Times New Roman"/>
          <w:bCs/>
          <w:sz w:val="24"/>
          <w:szCs w:val="24"/>
          <w:lang w:val="es-EC"/>
        </w:rPr>
        <w:t>determinar el grado de influencia de la motivación en el desempeño académico de los estudiantes</w:t>
      </w:r>
      <w:r>
        <w:rPr>
          <w:rFonts w:cs="Times New Roman" w:ascii="Times New Roman" w:hAnsi="Times New Roman"/>
          <w:sz w:val="24"/>
          <w:szCs w:val="24"/>
        </w:rPr>
        <w:t xml:space="preserve">, parte fundamental para que ellos se sientan con ese interés de satisfacer sus necesidades y de alcanzar sus objetivos. </w:t>
      </w:r>
    </w:p>
    <w:p>
      <w:pPr>
        <w:pStyle w:val="Normal"/>
        <w:spacing w:lineRule="auto" w:line="360"/>
        <w:jc w:val="both"/>
        <w:rPr>
          <w:rFonts w:ascii="Times New Roman" w:hAnsi="Times New Roman" w:cs="Times New Roman"/>
          <w:b/>
          <w:b/>
          <w:sz w:val="24"/>
          <w:szCs w:val="23"/>
        </w:rPr>
      </w:pPr>
      <w:r>
        <w:rPr>
          <w:rFonts w:cs="Times New Roman" w:ascii="Times New Roman" w:hAnsi="Times New Roman"/>
          <w:b/>
          <w:sz w:val="24"/>
          <w:szCs w:val="23"/>
        </w:rPr>
        <w:t>Materiales y Métodos</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La investigación se realizó a los estudiantes de la Unidad educativa Emilio Bowen  Roggiero de la ciudad de Manta, ubicada en la Parroquia Eloy Alfaro, donde se seleccionó a jóvenes de Décimo año de Educación General Básica del año lectivo 2020- 2021.</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Los métodos utilizados fueron el empírico, descriptivo e investigativo, se realizó  entrevista a la Psicóloga de la Institución Lic. Lorena Andrade para saber sobre el desempeño académico de los estudiantes.</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Las autoras del presente trabajo son docentes de la Unidad educativa Emilio Bowen Roggiero y declaran no tener conflictos ni intereses en la investigación.</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Se conversó con los estudiantes sobre el tema de la investigación y se les aplico una encuesta elaborada a través de un cuestionario web, donde  66 estudiantes de  una población de 120 contestaron para obtener la base de datos y poder determinar si la motivación influye en el desempeño académico.</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 xml:space="preserve">Aspectos éticos a considerarse son la discrecionalidad de los datos, manejo ético de la información y la validación de la encuesta por expertos. </w:t>
      </w:r>
    </w:p>
    <w:p>
      <w:pPr>
        <w:pStyle w:val="Normal"/>
        <w:spacing w:lineRule="auto" w:line="360"/>
        <w:jc w:val="both"/>
        <w:rPr>
          <w:rFonts w:ascii="Times New Roman" w:hAnsi="Times New Roman" w:cs="Times New Roman"/>
          <w:b/>
          <w:b/>
          <w:sz w:val="24"/>
          <w:szCs w:val="23"/>
        </w:rPr>
      </w:pPr>
      <w:r>
        <w:rPr>
          <w:rFonts w:cs="Times New Roman" w:ascii="Times New Roman" w:hAnsi="Times New Roman"/>
          <w:b/>
          <w:sz w:val="24"/>
          <w:szCs w:val="23"/>
        </w:rPr>
        <w:t>Resultados.</w:t>
      </w:r>
    </w:p>
    <w:p>
      <w:pPr>
        <w:pStyle w:val="Normal"/>
        <w:spacing w:lineRule="auto" w:line="360" w:before="0" w:after="240"/>
        <w:jc w:val="both"/>
        <w:rPr>
          <w:rFonts w:ascii="Times New Roman" w:hAnsi="Times New Roman" w:cs="Times New Roman"/>
          <w:sz w:val="24"/>
          <w:szCs w:val="23"/>
        </w:rPr>
      </w:pPr>
      <w:r>
        <w:rPr>
          <w:rFonts w:cs="Times New Roman" w:ascii="Times New Roman" w:hAnsi="Times New Roman"/>
          <w:sz w:val="24"/>
          <w:szCs w:val="23"/>
        </w:rPr>
        <w:t xml:space="preserve">En la recolección de datos se obtuvieron resultados significativos y se analizó la influencia de la motivación en el desempeño académico de los estudiantes, tabla 1. </w:t>
      </w:r>
    </w:p>
    <w:tbl>
      <w:tblPr>
        <w:tblStyle w:val="PlainTable2"/>
        <w:tblpPr w:vertAnchor="text" w:horzAnchor="margin" w:leftFromText="141" w:rightFromText="141" w:tblpX="0" w:tblpY="431"/>
        <w:tblW w:w="408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09"/>
        <w:gridCol w:w="1307"/>
        <w:gridCol w:w="1366"/>
      </w:tblGrid>
      <w:tr>
        <w:trPr>
          <w:trHeight w:val="372" w:hRule="atLeast"/>
          <w:cnfStyle w:val="100000000000" w:firstRow="1" w:lastRow="0" w:firstColumn="0" w:lastColumn="0" w:oddVBand="0" w:evenVBand="0" w:oddHBand="0"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307"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372" w:hRule="atLeast"/>
          <w:cnfStyle w:val="000000100000" w:firstRow="0" w:lastRow="0" w:firstColumn="0" w:lastColumn="0" w:oddVBand="0" w:evenVBand="0" w:oddHBand="1"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Siempre</w:t>
            </w:r>
          </w:p>
        </w:tc>
        <w:tc>
          <w:tcPr>
            <w:tcW w:w="1307"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52</w:t>
            </w:r>
          </w:p>
        </w:tc>
        <w:tc>
          <w:tcPr>
            <w:tcW w:w="136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78,80%</w:t>
            </w:r>
          </w:p>
        </w:tc>
      </w:tr>
      <w:tr>
        <w:trPr>
          <w:trHeight w:val="372" w:hRule="atLeast"/>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A veces</w:t>
            </w:r>
          </w:p>
        </w:tc>
        <w:tc>
          <w:tcPr>
            <w:tcW w:w="1307"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13</w:t>
            </w:r>
          </w:p>
        </w:tc>
        <w:tc>
          <w:tcPr>
            <w:tcW w:w="136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19,70%</w:t>
            </w:r>
          </w:p>
        </w:tc>
      </w:tr>
      <w:tr>
        <w:trPr>
          <w:trHeight w:val="372" w:hRule="atLeast"/>
          <w:cnfStyle w:val="000000100000" w:firstRow="0" w:lastRow="0" w:firstColumn="0" w:lastColumn="0" w:oddVBand="0" w:evenVBand="0" w:oddHBand="1"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Nunca</w:t>
            </w:r>
          </w:p>
        </w:tc>
        <w:tc>
          <w:tcPr>
            <w:tcW w:w="1307"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w:t>
            </w:r>
          </w:p>
        </w:tc>
        <w:tc>
          <w:tcPr>
            <w:tcW w:w="136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1,50%</w:t>
            </w:r>
          </w:p>
        </w:tc>
      </w:tr>
      <w:tr>
        <w:trPr>
          <w:trHeight w:val="372" w:hRule="atLeast"/>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pPr>
            <w:r>
              <w:rPr>
                <w:rFonts w:eastAsia="Times New Roman" w:cs="Times New Roman" w:ascii="Times New Roman" w:hAnsi="Times New Roman"/>
                <w:b w:val="false"/>
                <w:bCs w:val="false"/>
                <w:color w:val="000000"/>
                <w:kern w:val="0"/>
                <w:sz w:val="22"/>
                <w:szCs w:val="22"/>
                <w:lang w:val="es-ES" w:eastAsia="es-ES" w:bidi="ar-SA"/>
              </w:rPr>
              <w:t>Total</w:t>
            </w:r>
          </w:p>
        </w:tc>
        <w:tc>
          <w:tcPr>
            <w:tcW w:w="1307"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366"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w:t>
            </w:r>
          </w:p>
        </w:tc>
      </w:tr>
    </w:tbl>
    <w:p>
      <w:pPr>
        <w:pStyle w:val="Normal"/>
        <w:spacing w:lineRule="auto" w:line="360"/>
        <w:jc w:val="center"/>
        <w:rPr>
          <w:b w:val="false"/>
          <w:b w:val="false"/>
          <w:bCs w:val="false"/>
        </w:rPr>
      </w:pPr>
      <w:r/>
      <w:r>
        <w:rPr>
          <w:rFonts w:cs="Times New Roman" w:ascii="Times New Roman" w:hAnsi="Times New Roman"/>
          <w:b w:val="false"/>
          <w:bCs w:val="false"/>
          <w:sz w:val="24"/>
          <w:szCs w:val="23"/>
        </w:rPr>
        <w:t>Tabla 1. Conocimientos sobre  la necesidad de motivación para el aprendizaje</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 xml:space="preserve">Los estudiantes están conscientes  de que para aprender tienen que estar motivados, ante lo cual, se exhorta a los docentes que mantengan siempre presente la motivación hacia el aprendizaje para lograr conocimientos, que le sirvan a los estudiantes participen activamente, se conviertan en investigadores para construir su propio aprendizaje, </w:t>
      </w:r>
      <w:r>
        <w:rPr>
          <w:rFonts w:cs="Times New Roman" w:ascii="Times New Roman" w:hAnsi="Times New Roman"/>
          <w:sz w:val="24"/>
          <w:szCs w:val="24"/>
        </w:rPr>
        <w:t xml:space="preserve">deben motivarse constantemente ellos mismos y así conquistar todo lo que se proponen, tabla 2. </w:t>
      </w:r>
    </w:p>
    <w:tbl>
      <w:tblPr>
        <w:tblStyle w:val="PlainTable2"/>
        <w:tblW w:w="448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68"/>
        <w:gridCol w:w="1486"/>
        <w:gridCol w:w="1530"/>
      </w:tblGrid>
      <w:tr>
        <w:trPr>
          <w:trHeight w:val="374" w:hRule="atLeast"/>
          <w:cnfStyle w:val="100000000000" w:firstRow="1" w:lastRow="0" w:firstColumn="0" w:lastColumn="0" w:oddVBand="0" w:evenVBand="0" w:oddHBand="0" w:evenHBand="0" w:firstRowFirstColumn="0" w:firstRowLastColumn="0" w:lastRowFirstColumn="0" w:lastRowLastColumn="0"/>
        </w:trPr>
        <w:tc>
          <w:tcPr>
            <w:tcW w:w="146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48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374" w:hRule="atLeast"/>
          <w:cnfStyle w:val="000000100000" w:firstRow="0" w:lastRow="0" w:firstColumn="0" w:lastColumn="0" w:oddVBand="0" w:evenVBand="0" w:oddHBand="1" w:evenHBand="0" w:firstRowFirstColumn="0" w:firstRowLastColumn="0" w:lastRowFirstColumn="0" w:lastRowLastColumn="0"/>
        </w:trPr>
        <w:tc>
          <w:tcPr>
            <w:tcW w:w="146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Media</w:t>
            </w:r>
          </w:p>
        </w:tc>
        <w:tc>
          <w:tcPr>
            <w:tcW w:w="148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36</w:t>
            </w:r>
          </w:p>
        </w:tc>
        <w:tc>
          <w:tcPr>
            <w:tcW w:w="15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54,55%</w:t>
            </w:r>
          </w:p>
        </w:tc>
      </w:tr>
      <w:tr>
        <w:trPr>
          <w:trHeight w:val="374" w:hRule="atLeast"/>
        </w:trPr>
        <w:tc>
          <w:tcPr>
            <w:tcW w:w="146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Alta</w:t>
            </w:r>
          </w:p>
        </w:tc>
        <w:tc>
          <w:tcPr>
            <w:tcW w:w="148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28</w:t>
            </w:r>
          </w:p>
        </w:tc>
        <w:tc>
          <w:tcPr>
            <w:tcW w:w="15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42,42%</w:t>
            </w:r>
          </w:p>
        </w:tc>
      </w:tr>
      <w:tr>
        <w:trPr>
          <w:trHeight w:val="374" w:hRule="atLeast"/>
          <w:cnfStyle w:val="000000100000" w:firstRow="0" w:lastRow="0" w:firstColumn="0" w:lastColumn="0" w:oddVBand="0" w:evenVBand="0" w:oddHBand="1" w:evenHBand="0" w:firstRowFirstColumn="0" w:firstRowLastColumn="0" w:lastRowFirstColumn="0" w:lastRowLastColumn="0"/>
        </w:trPr>
        <w:tc>
          <w:tcPr>
            <w:tcW w:w="146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Baja</w:t>
            </w:r>
          </w:p>
        </w:tc>
        <w:tc>
          <w:tcPr>
            <w:tcW w:w="148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w:t>
            </w:r>
          </w:p>
        </w:tc>
        <w:tc>
          <w:tcPr>
            <w:tcW w:w="15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3,03%</w:t>
            </w:r>
          </w:p>
        </w:tc>
      </w:tr>
      <w:tr>
        <w:trPr>
          <w:trHeight w:val="374" w:hRule="atLeast"/>
        </w:trPr>
        <w:tc>
          <w:tcPr>
            <w:tcW w:w="146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Total</w:t>
            </w:r>
          </w:p>
        </w:tc>
        <w:tc>
          <w:tcPr>
            <w:tcW w:w="148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53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w:t>
            </w:r>
          </w:p>
        </w:tc>
      </w:tr>
    </w:tbl>
    <w:p>
      <w:pPr>
        <w:pStyle w:val="Normal"/>
        <w:spacing w:lineRule="auto" w:line="360"/>
        <w:jc w:val="center"/>
        <w:rPr>
          <w:b w:val="false"/>
          <w:b w:val="false"/>
          <w:bCs w:val="false"/>
        </w:rPr>
      </w:pPr>
      <w:r>
        <w:rPr>
          <w:rFonts w:cs="Times New Roman" w:ascii="Times New Roman" w:hAnsi="Times New Roman"/>
          <w:b w:val="false"/>
          <w:bCs w:val="false"/>
          <w:sz w:val="24"/>
          <w:szCs w:val="23"/>
        </w:rPr>
        <w:t>Tabla 2. Grado de motivación de los estudiantes dentro del salón de clases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los estudiantes les hace falta motivación dentro del salón de clase, ante lo cual, se invita  al docente que debe crear un ambiente escolar agradable  para  que los jóvenes se sientan motivados y predispuestos a su enseñanza-aprendizaje. Las clases deben  ser llamativas, didácticas y motivadoras. Para lograr una alta motivación se debe aplicar estrategias de enseñanza-aprendizaje relevantes e innovadoras; y mejoran significativamente los resultados de aprendizaje, estas son la organización, comprensión, estrategias de apoyo, autoeficacia y sustentan la motivación en el aula, tabla 3.</w:t>
      </w:r>
    </w:p>
    <w:tbl>
      <w:tblPr>
        <w:tblStyle w:val="PlainTable2"/>
        <w:tblW w:w="566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954"/>
        <w:gridCol w:w="1348"/>
        <w:gridCol w:w="1367"/>
      </w:tblGrid>
      <w:tr>
        <w:trPr>
          <w:trHeight w:val="311" w:hRule="atLeast"/>
          <w:cnfStyle w:val="100000000000" w:firstRow="1" w:lastRow="0" w:firstColumn="0" w:lastColumn="0" w:oddVBand="0" w:evenVBand="0" w:oddHBand="0" w:evenHBand="0" w:firstRowFirstColumn="0" w:firstRowLastColumn="0" w:lastRowFirstColumn="0" w:lastRowLastColumn="0"/>
        </w:trPr>
        <w:tc>
          <w:tcPr>
            <w:tcW w:w="2954"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348"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3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311" w:hRule="atLeast"/>
          <w:cnfStyle w:val="000000100000" w:firstRow="0" w:lastRow="0" w:firstColumn="0" w:lastColumn="0" w:oddVBand="0" w:evenVBand="0" w:oddHBand="1" w:evenHBand="0" w:firstRowFirstColumn="0" w:firstRowLastColumn="0" w:lastRowFirstColumn="0" w:lastRowLastColumn="0"/>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Ciencia Naturales</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19</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28,79%</w:t>
            </w:r>
          </w:p>
        </w:tc>
      </w:tr>
      <w:tr>
        <w:trPr>
          <w:trHeight w:val="311" w:hRule="atLeast"/>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Ingles</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11</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16,67%</w:t>
            </w:r>
          </w:p>
        </w:tc>
      </w:tr>
      <w:tr>
        <w:trPr>
          <w:trHeight w:val="311" w:hRule="atLeast"/>
          <w:cnfStyle w:val="000000100000" w:firstRow="0" w:lastRow="0" w:firstColumn="0" w:lastColumn="0" w:oddVBand="0" w:evenVBand="0" w:oddHBand="1" w:evenHBand="0" w:firstRowFirstColumn="0" w:firstRowLastColumn="0" w:lastRowFirstColumn="0" w:lastRowLastColumn="0"/>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Estudios Sociales</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15,15%</w:t>
            </w:r>
          </w:p>
        </w:tc>
      </w:tr>
      <w:tr>
        <w:trPr>
          <w:trHeight w:val="311" w:hRule="atLeast"/>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Matemática</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9</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13,64%</w:t>
            </w:r>
          </w:p>
        </w:tc>
      </w:tr>
      <w:tr>
        <w:trPr>
          <w:trHeight w:val="311" w:hRule="atLeast"/>
          <w:cnfStyle w:val="000000100000" w:firstRow="0" w:lastRow="0" w:firstColumn="0" w:lastColumn="0" w:oddVBand="0" w:evenVBand="0" w:oddHBand="1" w:evenHBand="0" w:firstRowFirstColumn="0" w:firstRowLastColumn="0" w:lastRowFirstColumn="0" w:lastRowLastColumn="0"/>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Educación Física</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9</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13,64%</w:t>
            </w:r>
          </w:p>
        </w:tc>
      </w:tr>
      <w:tr>
        <w:trPr>
          <w:trHeight w:val="311" w:hRule="atLeast"/>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Lengua y Literatura</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5</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7,58%</w:t>
            </w:r>
          </w:p>
        </w:tc>
      </w:tr>
      <w:tr>
        <w:trPr>
          <w:trHeight w:val="311" w:hRule="atLeast"/>
          <w:cnfStyle w:val="000000100000" w:firstRow="0" w:lastRow="0" w:firstColumn="0" w:lastColumn="0" w:oddVBand="0" w:evenVBand="0" w:oddHBand="1" w:evenHBand="0" w:firstRowFirstColumn="0" w:firstRowLastColumn="0" w:lastRowFirstColumn="0" w:lastRowLastColumn="0"/>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Educación Cultural y Artística</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4,55%</w:t>
            </w:r>
          </w:p>
        </w:tc>
      </w:tr>
      <w:tr>
        <w:trPr>
          <w:trHeight w:val="311" w:hRule="atLeast"/>
        </w:trPr>
        <w:tc>
          <w:tcPr>
            <w:tcW w:w="2954"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Total</w:t>
            </w:r>
          </w:p>
        </w:tc>
        <w:tc>
          <w:tcPr>
            <w:tcW w:w="1348"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367"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100,00%</w:t>
            </w:r>
          </w:p>
        </w:tc>
      </w:tr>
    </w:tbl>
    <w:p>
      <w:pPr>
        <w:pStyle w:val="Normal"/>
        <w:spacing w:lineRule="auto" w:line="360"/>
        <w:jc w:val="center"/>
        <w:rPr>
          <w:b w:val="false"/>
          <w:b w:val="false"/>
          <w:bCs w:val="false"/>
        </w:rPr>
      </w:pPr>
      <w:r>
        <w:rPr>
          <w:rFonts w:cs="Times New Roman" w:ascii="Times New Roman" w:hAnsi="Times New Roman"/>
          <w:b w:val="false"/>
          <w:bCs w:val="false"/>
          <w:sz w:val="24"/>
          <w:szCs w:val="23"/>
        </w:rPr>
        <w:t>Tabla 3. Área de estudios en que se sienten motivados los estudiantes</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Al aplicar la investigación a los estudiantes de décimo año de Educación General Básica Superior, revelan que en la mayoría de las áreas el maestro no efectúa una verdadera motivación. El docente solo imparte conocimientos y se olvida de la  parte humana del estudiante, no se interesa por lo que le sucede al niño o adolescente, las clases son monótonas sin llamar la atención de los jóvenes. En las asignaturas que se sienten motivados es en Ciencias Naturales e inglés, tabla 4.</w:t>
      </w:r>
    </w:p>
    <w:tbl>
      <w:tblPr>
        <w:tblStyle w:val="PlainTable2"/>
        <w:tblpPr w:vertAnchor="text" w:horzAnchor="margin" w:leftFromText="141" w:rightFromText="141" w:tblpX="0" w:tblpY="234"/>
        <w:tblW w:w="373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39"/>
        <w:gridCol w:w="1246"/>
        <w:gridCol w:w="1351"/>
      </w:tblGrid>
      <w:tr>
        <w:trPr>
          <w:trHeight w:val="251" w:hRule="atLeast"/>
          <w:cnfStyle w:val="100000000000" w:firstRow="1" w:lastRow="0" w:firstColumn="0" w:lastColumn="0" w:oddVBand="0" w:evenVBand="0" w:oddHBand="0" w:evenHBand="0" w:firstRowFirstColumn="0" w:firstRowLastColumn="0" w:lastRowFirstColumn="0" w:lastRowLastColumn="0"/>
        </w:trPr>
        <w:tc>
          <w:tcPr>
            <w:tcW w:w="1139"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246"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251" w:hRule="atLeast"/>
          <w:cnfStyle w:val="000000100000" w:firstRow="0" w:lastRow="0" w:firstColumn="0" w:lastColumn="0" w:oddVBand="0" w:evenVBand="0" w:oddHBand="1" w:evenHBand="0" w:firstRowFirstColumn="0" w:firstRowLastColumn="0" w:lastRowFirstColumn="0" w:lastRowLastColumn="0"/>
        </w:trPr>
        <w:tc>
          <w:tcPr>
            <w:tcW w:w="113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Siempre</w:t>
            </w:r>
          </w:p>
        </w:tc>
        <w:tc>
          <w:tcPr>
            <w:tcW w:w="124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38</w:t>
            </w:r>
          </w:p>
        </w:tc>
        <w:tc>
          <w:tcPr>
            <w:tcW w:w="135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57,58%</w:t>
            </w:r>
          </w:p>
        </w:tc>
      </w:tr>
      <w:tr>
        <w:trPr>
          <w:trHeight w:val="251" w:hRule="atLeast"/>
        </w:trPr>
        <w:tc>
          <w:tcPr>
            <w:tcW w:w="113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A veces</w:t>
            </w:r>
          </w:p>
        </w:tc>
        <w:tc>
          <w:tcPr>
            <w:tcW w:w="124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26</w:t>
            </w:r>
          </w:p>
        </w:tc>
        <w:tc>
          <w:tcPr>
            <w:tcW w:w="135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39,39%</w:t>
            </w:r>
          </w:p>
        </w:tc>
      </w:tr>
      <w:tr>
        <w:trPr>
          <w:trHeight w:val="251" w:hRule="atLeast"/>
          <w:cnfStyle w:val="000000100000" w:firstRow="0" w:lastRow="0" w:firstColumn="0" w:lastColumn="0" w:oddVBand="0" w:evenVBand="0" w:oddHBand="1" w:evenHBand="0" w:firstRowFirstColumn="0" w:firstRowLastColumn="0" w:lastRowFirstColumn="0" w:lastRowLastColumn="0"/>
        </w:trPr>
        <w:tc>
          <w:tcPr>
            <w:tcW w:w="113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Nunca</w:t>
            </w:r>
          </w:p>
        </w:tc>
        <w:tc>
          <w:tcPr>
            <w:tcW w:w="124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w:t>
            </w:r>
          </w:p>
        </w:tc>
        <w:tc>
          <w:tcPr>
            <w:tcW w:w="135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3,03%</w:t>
            </w:r>
          </w:p>
        </w:tc>
      </w:tr>
      <w:tr>
        <w:trPr>
          <w:trHeight w:val="251" w:hRule="atLeast"/>
        </w:trPr>
        <w:tc>
          <w:tcPr>
            <w:tcW w:w="113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Total</w:t>
            </w:r>
          </w:p>
        </w:tc>
        <w:tc>
          <w:tcPr>
            <w:tcW w:w="1246"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35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w:t>
            </w:r>
          </w:p>
        </w:tc>
      </w:tr>
    </w:tbl>
    <w:p>
      <w:pPr>
        <w:pStyle w:val="Normal"/>
        <w:spacing w:lineRule="auto" w:line="360" w:before="0" w:after="240"/>
        <w:jc w:val="center"/>
        <w:rPr>
          <w:b w:val="false"/>
          <w:b w:val="false"/>
          <w:bCs w:val="false"/>
        </w:rPr>
      </w:pPr>
      <w:r/>
      <w:r>
        <w:rPr>
          <w:rFonts w:cs="Times New Roman" w:ascii="Times New Roman" w:hAnsi="Times New Roman"/>
          <w:b w:val="false"/>
          <w:bCs w:val="false"/>
          <w:sz w:val="24"/>
          <w:szCs w:val="23"/>
        </w:rPr>
        <w:t xml:space="preserve">Tabla 4. Conocimiento para saber si la motivación es permanente durante la hora de clases </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 xml:space="preserve">Los estudiantes reconocen que los docentes utilizan la motivación al inicio y al final de clases, pero a pesar de aplicarla no consiguen el cambio de actitud de los adolescentes, les hace falta una verdadera motivación que les haga sentir lo importe que es  prepararse para la vida y tener bien claro que la educación es el pilar fundamental para lograr lo que se proponen, tabla 5. </w:t>
      </w:r>
    </w:p>
    <w:tbl>
      <w:tblPr>
        <w:tblStyle w:val="PlainTable2"/>
        <w:tblW w:w="402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09"/>
        <w:gridCol w:w="1261"/>
        <w:gridCol w:w="1350"/>
      </w:tblGrid>
      <w:tr>
        <w:trPr>
          <w:trHeight w:val="261" w:hRule="atLeast"/>
          <w:cnfStyle w:val="100000000000" w:firstRow="1" w:lastRow="0" w:firstColumn="0" w:lastColumn="0" w:oddVBand="0" w:evenVBand="0" w:oddHBand="0"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261"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261" w:hRule="atLeast"/>
          <w:cnfStyle w:val="000000100000" w:firstRow="0" w:lastRow="0" w:firstColumn="0" w:lastColumn="0" w:oddVBand="0" w:evenVBand="0" w:oddHBand="1"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Siempre</w:t>
            </w:r>
          </w:p>
        </w:tc>
        <w:tc>
          <w:tcPr>
            <w:tcW w:w="1261"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8</w:t>
            </w:r>
          </w:p>
        </w:tc>
        <w:tc>
          <w:tcPr>
            <w:tcW w:w="135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12,12%</w:t>
            </w:r>
          </w:p>
        </w:tc>
      </w:tr>
      <w:tr>
        <w:trPr>
          <w:trHeight w:val="261" w:hRule="atLeast"/>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A veces</w:t>
            </w:r>
          </w:p>
        </w:tc>
        <w:tc>
          <w:tcPr>
            <w:tcW w:w="1261"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30</w:t>
            </w:r>
          </w:p>
        </w:tc>
        <w:tc>
          <w:tcPr>
            <w:tcW w:w="135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45,45%</w:t>
            </w:r>
          </w:p>
        </w:tc>
      </w:tr>
      <w:tr>
        <w:trPr>
          <w:trHeight w:val="261" w:hRule="atLeast"/>
          <w:cnfStyle w:val="000000100000" w:firstRow="0" w:lastRow="0" w:firstColumn="0" w:lastColumn="0" w:oddVBand="0" w:evenVBand="0" w:oddHBand="1" w:evenHBand="0" w:firstRowFirstColumn="0" w:firstRowLastColumn="0" w:lastRowFirstColumn="0" w:lastRowLastColumn="0"/>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Nunca</w:t>
            </w:r>
          </w:p>
        </w:tc>
        <w:tc>
          <w:tcPr>
            <w:tcW w:w="1261"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28</w:t>
            </w:r>
          </w:p>
        </w:tc>
        <w:tc>
          <w:tcPr>
            <w:tcW w:w="135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42,42%</w:t>
            </w:r>
          </w:p>
        </w:tc>
      </w:tr>
      <w:tr>
        <w:trPr>
          <w:trHeight w:val="261" w:hRule="atLeast"/>
        </w:trPr>
        <w:tc>
          <w:tcPr>
            <w:tcW w:w="140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TOTAL</w:t>
            </w:r>
          </w:p>
        </w:tc>
        <w:tc>
          <w:tcPr>
            <w:tcW w:w="1261"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350"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w:t>
            </w:r>
          </w:p>
        </w:tc>
      </w:tr>
    </w:tbl>
    <w:p>
      <w:pPr>
        <w:pStyle w:val="Normal"/>
        <w:spacing w:lineRule="auto" w:line="360"/>
        <w:jc w:val="center"/>
        <w:rPr>
          <w:b w:val="false"/>
          <w:b w:val="false"/>
          <w:bCs w:val="false"/>
        </w:rPr>
      </w:pPr>
      <w:r>
        <w:rPr>
          <w:rFonts w:cs="Times New Roman" w:ascii="Times New Roman" w:hAnsi="Times New Roman"/>
          <w:b w:val="false"/>
          <w:bCs w:val="false"/>
          <w:sz w:val="24"/>
          <w:szCs w:val="23"/>
        </w:rPr>
        <w:t xml:space="preserve">Tabla 5. La motivación que le dan los padres a sus hijos, cuando obtienen buenos resultados.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Son pocos los padres que incentivan a sus hijos dándoles un premio o regalo por sus notas alcanzadas, lo que demuestra que falta mayor atención. No es necesario recibir un regalo sino dar frases de aliento como ¡lo hiciste bien!, felicitarlo por sus notas para que así los estudiantes se sientan motivados a seguir adelante y alcanzar sus metas. La familia  es un factor predominante para que el niño, joven se sienta motivado es  por ello que los padres de familias deben estar siempre al lado de sus hijos demostrándole ese apoyo, interés y amor, tabla 6.</w:t>
      </w:r>
    </w:p>
    <w:tbl>
      <w:tblPr>
        <w:tblStyle w:val="PlainTable2"/>
        <w:tblW w:w="471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48"/>
        <w:gridCol w:w="1472"/>
        <w:gridCol w:w="1591"/>
      </w:tblGrid>
      <w:tr>
        <w:trPr>
          <w:trHeight w:val="120" w:hRule="atLeast"/>
          <w:cnfStyle w:val="100000000000" w:firstRow="1" w:lastRow="0" w:firstColumn="0" w:lastColumn="0" w:oddVBand="0" w:evenVBand="0" w:oddHBand="0" w:evenHBand="0" w:firstRowFirstColumn="0" w:firstRowLastColumn="0" w:lastRowFirstColumn="0" w:lastRowLastColumn="0"/>
        </w:trPr>
        <w:tc>
          <w:tcPr>
            <w:tcW w:w="1648"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Opciones</w:t>
            </w:r>
          </w:p>
        </w:tc>
        <w:tc>
          <w:tcPr>
            <w:tcW w:w="1472" w:type="dxa"/>
            <w:tcBorders>
              <w:top w:val="single" w:sz="4" w:space="0" w:color="000000"/>
              <w:left w:val="single" w:sz="4" w:space="0" w:color="000000"/>
              <w:bottom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Frecuencia</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Porcentaje</w:t>
            </w:r>
          </w:p>
        </w:tc>
      </w:tr>
      <w:tr>
        <w:trPr>
          <w:trHeight w:val="127" w:hRule="atLeast"/>
          <w:cnfStyle w:val="000000100000" w:firstRow="0" w:lastRow="0" w:firstColumn="0" w:lastColumn="0" w:oddVBand="0" w:evenVBand="0" w:oddHBand="1" w:evenHBand="0" w:firstRowFirstColumn="0" w:firstRowLastColumn="0" w:lastRowFirstColumn="0" w:lastRowLastColumn="0"/>
        </w:trPr>
        <w:tc>
          <w:tcPr>
            <w:tcW w:w="164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Siempre</w:t>
            </w:r>
          </w:p>
        </w:tc>
        <w:tc>
          <w:tcPr>
            <w:tcW w:w="1472"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54</w:t>
            </w:r>
          </w:p>
        </w:tc>
        <w:tc>
          <w:tcPr>
            <w:tcW w:w="159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81,82%</w:t>
            </w:r>
          </w:p>
        </w:tc>
      </w:tr>
      <w:tr>
        <w:trPr>
          <w:trHeight w:val="104" w:hRule="atLeast"/>
        </w:trPr>
        <w:tc>
          <w:tcPr>
            <w:tcW w:w="164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A veces</w:t>
            </w:r>
          </w:p>
        </w:tc>
        <w:tc>
          <w:tcPr>
            <w:tcW w:w="1472"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11</w:t>
            </w:r>
          </w:p>
        </w:tc>
        <w:tc>
          <w:tcPr>
            <w:tcW w:w="159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16,67%</w:t>
            </w:r>
          </w:p>
        </w:tc>
      </w:tr>
      <w:tr>
        <w:trPr>
          <w:trHeight w:val="111" w:hRule="atLeast"/>
          <w:cnfStyle w:val="000000100000" w:firstRow="0" w:lastRow="0" w:firstColumn="0" w:lastColumn="0" w:oddVBand="0" w:evenVBand="0" w:oddHBand="1" w:evenHBand="0" w:firstRowFirstColumn="0" w:firstRowLastColumn="0" w:lastRowFirstColumn="0" w:lastRowLastColumn="0"/>
        </w:trPr>
        <w:tc>
          <w:tcPr>
            <w:tcW w:w="164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Nunca</w:t>
            </w:r>
          </w:p>
        </w:tc>
        <w:tc>
          <w:tcPr>
            <w:tcW w:w="1472"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w:t>
            </w:r>
          </w:p>
        </w:tc>
        <w:tc>
          <w:tcPr>
            <w:tcW w:w="159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1,51%</w:t>
            </w:r>
          </w:p>
        </w:tc>
      </w:tr>
      <w:tr>
        <w:trPr>
          <w:trHeight w:val="88" w:hRule="atLeast"/>
        </w:trPr>
        <w:tc>
          <w:tcPr>
            <w:tcW w:w="1648"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tcBorders>
          </w:tcPr>
          <w:p>
            <w:pPr>
              <w:pStyle w:val="Normal"/>
              <w:widowControl w:val="false"/>
              <w:suppressAutoHyphens w:val="true"/>
              <w:spacing w:lineRule="auto" w:line="240" w:before="0" w:after="0"/>
              <w:jc w:val="left"/>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Total</w:t>
            </w:r>
          </w:p>
        </w:tc>
        <w:tc>
          <w:tcPr>
            <w:tcW w:w="1472" w:type="dxa"/>
            <w:tcBorders>
              <w:top w:val="nil"/>
              <w:left w:val="single" w:sz="4" w:space="0" w:color="000000"/>
              <w:bottom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66</w:t>
            </w:r>
          </w:p>
        </w:tc>
        <w:tc>
          <w:tcPr>
            <w:tcW w:w="1591" w:type="dxa"/>
            <w:tcBorders>
              <w:top w:val="nil"/>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val="false"/>
                <w:b w:val="false"/>
                <w:bCs w:val="false"/>
                <w:color w:val="000000"/>
                <w:kern w:val="0"/>
                <w:sz w:val="22"/>
                <w:szCs w:val="22"/>
                <w:lang w:val="es-ES" w:eastAsia="es-ES" w:bidi="ar-SA"/>
              </w:rPr>
            </w:pPr>
            <w:r>
              <w:rPr>
                <w:rFonts w:eastAsia="Times New Roman" w:cs="Times New Roman" w:ascii="Times New Roman" w:hAnsi="Times New Roman"/>
                <w:b w:val="false"/>
                <w:bCs w:val="false"/>
                <w:color w:val="000000"/>
                <w:kern w:val="0"/>
                <w:sz w:val="22"/>
                <w:szCs w:val="22"/>
                <w:lang w:val="es-ES" w:eastAsia="es-ES" w:bidi="ar-SA"/>
              </w:rPr>
              <w:t>100%</w:t>
            </w:r>
            <w:bookmarkStart w:id="0" w:name="_GoBack"/>
            <w:bookmarkEnd w:id="0"/>
          </w:p>
        </w:tc>
      </w:tr>
    </w:tbl>
    <w:p>
      <w:pPr>
        <w:pStyle w:val="Normal"/>
        <w:spacing w:lineRule="auto" w:line="360"/>
        <w:jc w:val="center"/>
        <w:rPr>
          <w:b w:val="false"/>
          <w:b w:val="false"/>
          <w:bCs w:val="false"/>
        </w:rPr>
      </w:pPr>
      <w:r>
        <w:rPr>
          <w:rFonts w:cs="Times New Roman" w:ascii="Times New Roman" w:hAnsi="Times New Roman"/>
          <w:b w:val="false"/>
          <w:bCs w:val="false"/>
          <w:sz w:val="24"/>
          <w:szCs w:val="23"/>
        </w:rPr>
        <w:t>Tabla 6.  La motivación y su relación con el Proceso Enseñanza- Aprendizaje</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Los estudiantes están conscientes de la relación que hay entre la motivación y el proceso enseñanza aprendizaje, por lo que se propone  mantener esa vinculación para que el educando consiga desarrollar competencias y contenidos acorde al currículo educativo. No descuidar su enseñanza - aprendizaje para así conseguir adolescentes activos, dinámicos y productivos.</w:t>
      </w:r>
      <w:r>
        <w:rPr>
          <w:rFonts w:cs="Times New Roman" w:ascii="Times New Roman" w:hAnsi="Times New Roman"/>
          <w:sz w:val="24"/>
          <w:szCs w:val="24"/>
        </w:rPr>
        <w:t xml:space="preserve"> El educando debe estar preparado para lo que demanda la educación del siglo XXI, basándose en el aprender a conocer, aprender a hacer, aprender a vivir juntos y aprender ser, para adquirir un aprendizaje significativo.</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 xml:space="preserve">Estos resultados son de gran aporte para la investigación, porque proporciona una idea amplia de lo que opinan y sienten los estudiantes sobre la motivación que experimentan a diario, y cómo esta influye en su desempeño académico; además son significativos e invita a reflexionar sobre la labor que cumple el docente y la familia como apoyo para alcanzar objetivos en el proceso educativo.  </w:t>
      </w:r>
    </w:p>
    <w:p>
      <w:pPr>
        <w:pStyle w:val="Normal"/>
        <w:spacing w:lineRule="auto" w:line="360"/>
        <w:jc w:val="both"/>
        <w:rPr>
          <w:rFonts w:ascii="Times New Roman" w:hAnsi="Times New Roman" w:cs="Times New Roman"/>
          <w:b/>
          <w:b/>
          <w:sz w:val="24"/>
          <w:szCs w:val="23"/>
        </w:rPr>
      </w:pPr>
      <w:r>
        <w:rPr>
          <w:rFonts w:cs="Times New Roman" w:ascii="Times New Roman" w:hAnsi="Times New Roman"/>
          <w:b/>
          <w:sz w:val="24"/>
          <w:szCs w:val="23"/>
        </w:rPr>
        <w:t>Discusión.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 motivación es un proceso que se basa en la subjetividad del ser humano donde debe primar el interés que tiene la persona, los motivos y necesidades para lograr el éxito en la vida, si no están motivados no lograran alcanzar sus metas y objetivos, deben motivarse constantemente ellos mismos y así conquistar todo lo que se proponen </w:t>
      </w:r>
      <w:sdt>
        <w:sdtPr>
          <w:citation/>
        </w:sdtPr>
        <w:sdtContent>
          <w:r>
            <w:rPr>
              <w:rFonts w:cs="Times New Roman" w:ascii="Times New Roman" w:hAnsi="Times New Roman"/>
              <w:sz w:val="24"/>
              <w:szCs w:val="24"/>
            </w:rPr>
            <w:t>(González, Mitjans Martínez, &amp; Bezerra, 2016)</w:t>
          </w:r>
        </w:sdtContent>
      </w:sdt>
      <w:r>
        <w:rPr>
          <w:rFonts w:cs="Times New Roman" w:ascii="Times New Roman" w:hAnsi="Times New Roman"/>
          <w:sz w:val="24"/>
          <w:szCs w:val="24"/>
        </w:rPr>
        <w:t xml:space="preserve">, en los resultados obtenidos se evidencia </w:t>
      </w:r>
      <w:r>
        <w:rPr>
          <w:rFonts w:cs="Times New Roman" w:ascii="Times New Roman" w:hAnsi="Times New Roman"/>
          <w:sz w:val="24"/>
          <w:szCs w:val="24"/>
        </w:rPr>
        <w:t xml:space="preserve">que los estudiantes en un 78,80% manifiestan es necesario estar motivados para aprender. </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4"/>
        </w:rPr>
        <w:t xml:space="preserve">Al obtener los resultados de la investigación, ésta da a conocer que los estudiantes de Décimo año de Educación General Básica de la Unidad Educativa Emilio Bowen Roggiero, están conscientes de la relación que existe entre </w:t>
      </w:r>
      <w:r>
        <w:rPr>
          <w:rFonts w:cs="Times New Roman" w:ascii="Times New Roman" w:hAnsi="Times New Roman"/>
          <w:sz w:val="24"/>
          <w:szCs w:val="23"/>
        </w:rPr>
        <w:t xml:space="preserve">la motivación y el proceso enseñanza aprendizaje en un 81,82%, es importante mantener esa vinculación para que el educando mantenga el interés por aprender y obtener mejores resultados en su desempeño académico, se concuerda con (Barca et al., 2012).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 motivación es estimular la pasión y el entusiasmo de las personas para contribuir con sus capacidades y competencias a la misión colectiva </w:t>
      </w:r>
      <w:sdt>
        <w:sdtPr>
          <w:citation/>
        </w:sdtPr>
        <w:sdtContent>
          <w:r>
            <w:rPr>
              <w:rFonts w:cs="Times New Roman" w:ascii="Times New Roman" w:hAnsi="Times New Roman"/>
              <w:sz w:val="24"/>
              <w:szCs w:val="24"/>
            </w:rPr>
            <w:t>(Ortiz &amp; Agredal, 2018)</w:t>
          </w:r>
        </w:sdtContent>
      </w:sdt>
      <w:r>
        <w:rPr>
          <w:rFonts w:cs="Times New Roman" w:ascii="Times New Roman" w:hAnsi="Times New Roman"/>
          <w:sz w:val="24"/>
          <w:szCs w:val="24"/>
        </w:rPr>
        <w:t xml:space="preserve">.Se define a la motivación como el entusiasmo para realizar sus habilidades y destrezas en el convivir diario. La motivación es considerada como la chispa que enciende al aprendizaje, su relación se representa como una doble vía, es decir que una depende de la otra, así también, es considerada el motor que impulsa al estudiante, a formar parte activa en el proceso de su desarrollo </w:t>
      </w:r>
      <w:sdt>
        <w:sdtPr>
          <w:citation/>
        </w:sdtPr>
        <w:sdtContent>
          <w:r>
            <w:rPr>
              <w:rFonts w:cs="Times New Roman" w:ascii="Times New Roman" w:hAnsi="Times New Roman"/>
              <w:sz w:val="24"/>
              <w:szCs w:val="24"/>
            </w:rPr>
            <w:t>(Ospina, 2006)</w:t>
          </w:r>
        </w:sdtContent>
      </w:sdt>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 motivación es la clave para determinar el aprendizaje de los educando donde es necesario la relación con otras percepciones como el interés que tienen en cierto campo, la necesidad o privación de algo, valor sobre lo que se propone alcanzar y la aspiración, posibilidad de conseguir un logro. La correspondencia que existe entre motivación y desempeño académico se pone de manifiesto en el estudio realizado en la investigación, donde los educandos demuestran  que  les hace falta ese motor que los haga cambiar de actitud y estén predispuestos a su enseñanza aprendizaje </w:t>
      </w:r>
      <w:sdt>
        <w:sdtPr>
          <w:citation/>
        </w:sdtPr>
        <w:sdtContent>
          <w:r>
            <w:rPr>
              <w:rFonts w:cs="Times New Roman" w:ascii="Times New Roman" w:hAnsi="Times New Roman"/>
              <w:sz w:val="24"/>
              <w:szCs w:val="24"/>
            </w:rPr>
            <w:t>(Rivera, 2013)</w:t>
          </w:r>
        </w:sdtContent>
      </w:sdt>
      <w:r>
        <w:rPr>
          <w:rFonts w:cs="Times New Roman" w:ascii="Times New Roman" w:hAnsi="Times New Roman"/>
          <w:sz w:val="24"/>
          <w:szCs w:val="24"/>
        </w:rPr>
        <w:t>.</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Los comportamientos observables que reflejan el nivel de motivación académica son, a su vez, de tres clases diferentes: hacer elecciones entre alternativas, estar activo e involucrado en las tareas y tener persistencia en ellas; el estudiante que se encuentra bien motivado puede desenvolverse en diferentes ámbitos dentro de su jornada de estudios </w:t>
      </w:r>
      <w:sdt>
        <w:sdtPr>
          <w:citation/>
        </w:sdtPr>
        <w:sdtContent>
          <w:r>
            <w:rPr>
              <w:rFonts w:cs="Times New Roman" w:ascii="Times New Roman" w:hAnsi="Times New Roman"/>
              <w:color w:val="000000"/>
              <w:sz w:val="24"/>
              <w:szCs w:val="24"/>
            </w:rPr>
            <w:t>(Rendón &amp; Coronel, 2019)</w:t>
          </w:r>
        </w:sdtContent>
      </w:sdt>
      <w:r>
        <w:rPr>
          <w:rFonts w:cs="Times New Roman" w:ascii="Times New Roman" w:hAnsi="Times New Roman"/>
          <w:color w:val="000000"/>
          <w:sz w:val="24"/>
          <w:szCs w:val="24"/>
        </w:rPr>
        <w:t>.</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En el proceso educativo el docente debe considerar el tipo de estudiante a motivar, tomando en cuenta  su personalidad, habilidades y destrezas, éste debe ser capaz  de buscar metodologías acorde al estudiante para desarrollar estrategias que ayuden a fomentar la motivación intrínseca, donde aprendan a valorar el aprendizaje diario, disfruten lo aprendido y comprueben su progreso personal </w:t>
      </w:r>
      <w:sdt>
        <w:sdtPr>
          <w:citation/>
        </w:sdtPr>
        <w:sdtContent>
          <w:r>
            <w:rPr>
              <w:rFonts w:cs="Times New Roman" w:ascii="Times New Roman" w:hAnsi="Times New Roman"/>
              <w:color w:val="000000"/>
              <w:sz w:val="24"/>
              <w:szCs w:val="24"/>
            </w:rPr>
            <w:t>(Rinaudo, Chiecher, &amp; Donolo, 2003)</w:t>
          </w:r>
        </w:sdtContent>
      </w:sdt>
      <w:r>
        <w:rPr>
          <w:rFonts w:cs="Times New Roman" w:ascii="Times New Roman" w:hAnsi="Times New Roman"/>
          <w:color w:val="000000"/>
          <w:sz w:val="24"/>
          <w:szCs w:val="24"/>
        </w:rPr>
        <w:t>.</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En los resultados los estudiantes manifestaron que solo en un 57,58% los maestros utilizan la motivación durante todo la hora de clases, desde el inicio y el fin; para que el salón de clase se convierta  en un clima agradable, el docente debe motivar, preparar temáticas de contenidos de aprendizaje llamativos, dar confianza a sus educandos, convertirse en amigos más que docente; para así favorecer el verdadero aprendizaje significativo de los estudiantes y debe estar presente durante todo el ciclo de aprendizaje</w:t>
      </w:r>
      <w:r>
        <w:rPr>
          <w:rFonts w:cs="Times New Roman" w:ascii="Times New Roman" w:hAnsi="Times New Roman"/>
          <w:sz w:val="24"/>
          <w:szCs w:val="24"/>
        </w:rPr>
        <w:t xml:space="preserve"> (Pico, 2017;</w:t>
      </w:r>
      <w:r>
        <w:rPr>
          <w:rFonts w:cs="Times New Roman" w:ascii="Times New Roman" w:hAnsi="Times New Roman"/>
          <w:color w:val="000000"/>
          <w:sz w:val="24"/>
          <w:szCs w:val="24"/>
        </w:rPr>
        <w:t xml:space="preserve"> Polo &amp; Pingo, 2020</w:t>
      </w:r>
      <w:r>
        <w:rPr>
          <w:rFonts w:cs="Times New Roman" w:ascii="Times New Roman" w:hAnsi="Times New Roman"/>
          <w:sz w:val="24"/>
          <w:szCs w:val="24"/>
        </w:rPr>
        <w:t>).</w:t>
      </w:r>
    </w:p>
    <w:p>
      <w:pPr>
        <w:pStyle w:val="Normal"/>
        <w:spacing w:lineRule="auto" w:line="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La familia, base fundamental de la sociedad, es uno de los pilares para conseguir el proceso de la motivación, son ellos los primeros educadores de sus hijos en valores para obtener un autoestima muy elevado, es decir, que la motivación es a diario con una mirada de seguridad, con una frase de aliento, hace que los adolescentes se sientan bien y estén con ánimo de aprender y satisfacer sus motivos, intereses y necesidades. </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 xml:space="preserve">Los resultados arrojaron que a veces en un 45,45%, los educandos sienten la motivación por parte de sus padres, es decir que se debe trabajar con la familia, para que sean un ente de motivación para sus hijos, y así obtener mejores desempeños. </w:t>
      </w:r>
      <w:r>
        <w:rPr>
          <w:rFonts w:cs="Times New Roman" w:ascii="Times New Roman" w:hAnsi="Times New Roman"/>
          <w:sz w:val="24"/>
          <w:szCs w:val="24"/>
        </w:rPr>
        <w:t>La Psicología estudia las relaciones conjuntas entre los miembros de la familia, encaminadas al cumplimiento de las funciones familiares y los procesos de comunicación.</w:t>
      </w:r>
      <w:sdt>
        <w:sdtPr>
          <w:citation/>
        </w:sdtPr>
        <w:sdtContent>
          <w:r>
            <w:rPr>
              <w:rFonts w:cs="Times New Roman" w:ascii="Times New Roman" w:hAnsi="Times New Roman"/>
              <w:sz w:val="24"/>
              <w:szCs w:val="24"/>
            </w:rPr>
            <w:t xml:space="preserve"> (Domínguez &amp; García, 2017)</w:t>
          </w:r>
        </w:sdtContent>
      </w:sdt>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color w:val="000000"/>
          <w:sz w:val="24"/>
          <w:szCs w:val="24"/>
        </w:rPr>
        <w:t>La  misión de la educación es formar hombres  para el presente y futuro, capaces de enfrentar los desafíos en su convivir diario, donde sea ejemplo de respeto, confianza y responsabilidad. Para alcanzar esta personalidad debe basarse en la formación humana que no es otra cosa que  ser íntegro y la capacitación que es desarrollar habilidades y capacidades para desenvolverse en la era del conocimiento digital. El desempeño académico es la transformación que alcanzan los escolares en el aspecto cognitivo, actitudinal a través del proceso educativo que se demuestra en el modo como éstos se enfrentan  en la vida y su relación con los demás (Quintero &amp; Orozco, 2013).</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En el aprendizaje de los educando el  docente desempeña un lugar preponderante, porque es él quien influye en los saberes: conocer, hacer, ser y convivir, que  adquieren y  desarrollan  los jóvenes para conseguir una educación  integral, esto se contrarresta con los resultados acerca de las materias en donde se sienten más motivados los estudiantes, y esto evidencia que hay la aplicación de diferentes grados de motivación y esto depende del maestro, de las técnicas, estrategias que aplique con sus estudiantes.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Los estudiantes del siglo XXI necesitan estar motivados para ejecutar sus propias ideas e intereses; estar en  capacidad de realizar un aprendizaje autónomo, aprendizaje basado en proyecto, solución de problemas y así alcanzar el verdadero aprendizaje significativo, donde ellos tomen decisiones y estén listos para competir en el mundo globalizado. Es necesario que los estudiantes definan sus intereses, motivos y necesidades para sentirse bien y lograr un desempeño académico de excelencia como demanda el proceso educativo. </w:t>
      </w:r>
    </w:p>
    <w:p>
      <w:pPr>
        <w:pStyle w:val="Normal"/>
        <w:spacing w:lineRule="auto" w:line="360"/>
        <w:jc w:val="both"/>
        <w:rPr>
          <w:rFonts w:ascii="Times New Roman" w:hAnsi="Times New Roman" w:cs="Times New Roman"/>
          <w:b/>
          <w:b/>
          <w:sz w:val="24"/>
          <w:szCs w:val="24"/>
        </w:rPr>
      </w:pPr>
      <w:r>
        <w:rPr>
          <w:rFonts w:cs="Times New Roman" w:ascii="Times New Roman" w:hAnsi="Times New Roman"/>
          <w:sz w:val="24"/>
          <w:szCs w:val="23"/>
        </w:rPr>
        <w:t xml:space="preserve">Se concuerdo con los estudios realizados por (González, Mitjans Martínez, &amp; Bezerra, 2016) , aseveran que hace falta potenciar la motivación de los estudiantes donde ellos tengan claro cuáles son sus intereses, motivos  y necesidades como lo propone el psicólogo Fernando González Rey </w:t>
      </w:r>
      <w:r>
        <w:rPr>
          <w:rStyle w:val="Hgkelc"/>
          <w:rFonts w:cs="Times New Roman" w:ascii="Times New Roman" w:hAnsi="Times New Roman"/>
          <w:sz w:val="24"/>
          <w:szCs w:val="24"/>
        </w:rPr>
        <w:t>se diferencia de las demás especies del planeta, quien puede cambiar su medio ambiente  para que responda a sus propios intereses</w:t>
      </w:r>
      <w:r>
        <w:rPr>
          <w:rFonts w:cs="Times New Roman" w:ascii="Times New Roman" w:hAnsi="Times New Roman"/>
          <w:sz w:val="24"/>
          <w:szCs w:val="24"/>
        </w:rPr>
        <w:t>.</w:t>
      </w:r>
    </w:p>
    <w:p>
      <w:pPr>
        <w:pStyle w:val="Normal"/>
        <w:spacing w:lineRule="auto" w:line="360"/>
        <w:jc w:val="both"/>
        <w:rPr>
          <w:rFonts w:ascii="Times New Roman" w:hAnsi="Times New Roman" w:cs="Times New Roman"/>
          <w:b/>
          <w:b/>
          <w:sz w:val="24"/>
          <w:szCs w:val="23"/>
        </w:rPr>
      </w:pPr>
      <w:r>
        <w:rPr>
          <w:rFonts w:cs="Times New Roman" w:ascii="Times New Roman" w:hAnsi="Times New Roman"/>
          <w:b/>
          <w:sz w:val="24"/>
          <w:szCs w:val="23"/>
        </w:rPr>
        <w:t>Conclusión</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 xml:space="preserve">La motivación es vital en el desarrollo de la personalidad del ser humano, es el impulso para que el estudiante quiera alcanzar metas u objetivos, es por eso que  se debe motivar cada momento a los estudiantes para que su desempeño académico sea óptimo. En la investigación se develó que los estudiantes necesitan estar motivados para llevar de mejor manera el proceso educativo y así obtener mejores resultados, esto es tarea de los docentes, estudiantes y padres de familia.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Al realizar esta investigación y tomando en cuenta los resultados arrojados, se observó que sí influye la motivación  en el desempeño académico de los estudiantes de la Educación Básica Superior en el proceso de enseñanza-aprendizaje. Se considera pertinente</w:t>
      </w:r>
      <w:r>
        <w:rPr>
          <w:rFonts w:cs="Times New Roman" w:ascii="Times New Roman" w:hAnsi="Times New Roman"/>
          <w:sz w:val="24"/>
          <w:szCs w:val="23"/>
        </w:rPr>
        <w:t xml:space="preserve"> que a mayor motivación se despierta el interés del estudiante por los conocimientos y habilidades a adquirir y depende del docente aplicar estrategias innovadoras y significativas para que el educando mantenga la atención en el proceso educativo y así mejorar el desempeño académico.</w:t>
      </w:r>
      <w:r>
        <w:rPr>
          <w:rFonts w:cs="Times New Roman" w:ascii="Times New Roman" w:hAnsi="Times New Roman"/>
          <w:sz w:val="24"/>
          <w:szCs w:val="24"/>
        </w:rPr>
        <w:t xml:space="preserve"> Por otro lado, sería oportuno evaluar la motivación tomando en consideración los ambientes sociales más importantes del alumno, es decir dialogar si cómo se siente que es percibido en su casa, en la escuela y cómo se siente él mismo para detectar las fuentes extrínsecas que más influyen en su motivación. </w:t>
      </w:r>
    </w:p>
    <w:p>
      <w:pPr>
        <w:pStyle w:val="Normal"/>
        <w:spacing w:lineRule="auto" w:line="360"/>
        <w:jc w:val="both"/>
        <w:rPr>
          <w:rFonts w:ascii="Times New Roman" w:hAnsi="Times New Roman" w:cs="Times New Roman"/>
          <w:sz w:val="24"/>
          <w:szCs w:val="23"/>
        </w:rPr>
      </w:pPr>
      <w:r>
        <w:rPr>
          <w:rFonts w:cs="Times New Roman" w:ascii="Times New Roman" w:hAnsi="Times New Roman"/>
          <w:sz w:val="24"/>
          <w:szCs w:val="23"/>
        </w:rPr>
        <w:t>Según los resultados obtenidos hay docentes que aplican mayor grado de motivación como es el caso de los docentes de Ciencias Naturales y Lengua extranjera; en el resto de los maestros es necesario un cambio o innovación para conseguir elevar los grados de motivación en sus estudiantes; convertirse en un orientador, guía, amigo de sus educandos para formar adolescentes predispuestos, activos, dinámicos y sobre todo con calidad humana. Para llegar a los estudiantes el docente debe motivar constantemente dentro y fuera del salón de clases, aplicar estrategias metodológicas activas para su  inter – aprendizaje y así el adolescente desarrolle habilidades, destrezas y competencias que le sirvan para su desempeño competitivo  en su vida profesional.</w:t>
      </w:r>
    </w:p>
    <w:sdt>
      <w:sdtPr>
        <w:docPartObj>
          <w:docPartGallery w:val="Bibliographies"/>
          <w:docPartUnique w:val="true"/>
        </w:docPartObj>
        <w:id w:val="359824299"/>
      </w:sdtPr>
      <w:sdtContent>
        <w:p>
          <w:pPr>
            <w:pStyle w:val="Ttulo1"/>
            <w:spacing w:lineRule="auto" w:line="360"/>
            <w:jc w:val="both"/>
            <w:rPr>
              <w:rFonts w:ascii="Times New Roman" w:hAnsi="Times New Roman" w:eastAsia="Calibri" w:cs="Times New Roman" w:eastAsiaTheme="minorHAnsi"/>
              <w:b/>
              <w:b/>
              <w:color w:val="auto"/>
              <w:sz w:val="22"/>
              <w:szCs w:val="22"/>
              <w:lang w:val="es-ES" w:eastAsia="en-US"/>
            </w:rPr>
          </w:pPr>
          <w:r>
            <w:rPr>
              <w:rFonts w:eastAsia="Calibri" w:cs="Times New Roman" w:ascii="Times New Roman" w:hAnsi="Times New Roman" w:eastAsiaTheme="minorHAnsi"/>
              <w:b/>
              <w:color w:val="auto"/>
              <w:sz w:val="24"/>
              <w:szCs w:val="23"/>
              <w:lang w:val="es-ES" w:eastAsia="en-US"/>
            </w:rPr>
            <w:t>Bibliografía</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Barca, A., Almeida, L., Porto, A., Peralbo, Manuel, &amp; Brenlla, J. (2012). Motivación escolar y rendimiento: impacto de metas académicas, de estrategias de aprendizaje y autoeficacia. </w:t>
          </w:r>
          <w:r>
            <w:rPr>
              <w:rFonts w:cs="Times New Roman" w:ascii="Times New Roman" w:hAnsi="Times New Roman"/>
              <w:i/>
              <w:iCs/>
              <w:sz w:val="24"/>
              <w:szCs w:val="24"/>
            </w:rPr>
            <w:t>Anales de Psicología/Annals of Psychology, 28</w:t>
          </w:r>
          <w:r>
            <w:rPr>
              <w:rFonts w:cs="Times New Roman" w:ascii="Times New Roman" w:hAnsi="Times New Roman"/>
              <w:sz w:val="24"/>
              <w:szCs w:val="24"/>
            </w:rPr>
            <w:t xml:space="preserve">(3), 848-859. Recuperado de: </w:t>
          </w:r>
          <w:hyperlink r:id="rId6">
            <w:r>
              <w:rPr>
                <w:rStyle w:val="EnlacedeInternet"/>
                <w:rFonts w:cs="Times New Roman" w:ascii="Times New Roman" w:hAnsi="Times New Roman"/>
                <w:sz w:val="24"/>
                <w:szCs w:val="24"/>
              </w:rPr>
              <w:t>https://revistas.um.es/analesps/article/view/analesps.28.3.156101/150191</w:t>
            </w:r>
          </w:hyperlink>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Domínguez, R., &amp; García, D. (2017). La familia como grupo psicosocial y su vÍnculo con la escuela. </w:t>
          </w:r>
          <w:r>
            <w:rPr>
              <w:rFonts w:cs="Times New Roman" w:ascii="Times New Roman" w:hAnsi="Times New Roman"/>
              <w:i/>
              <w:iCs/>
              <w:sz w:val="24"/>
              <w:szCs w:val="24"/>
            </w:rPr>
            <w:t>Comité Editorial, 10</w:t>
          </w:r>
          <w:r>
            <w:rPr>
              <w:rFonts w:cs="Times New Roman" w:ascii="Times New Roman" w:hAnsi="Times New Roman"/>
              <w:sz w:val="24"/>
              <w:szCs w:val="24"/>
            </w:rPr>
            <w:t>(1), 354.</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Gil, M., &amp; Monroy, M. (2019). Tecnología y motivación para el desempeño académico de alumnos en educación básica. </w:t>
          </w:r>
          <w:r>
            <w:rPr>
              <w:rFonts w:cs="Times New Roman" w:ascii="Times New Roman" w:hAnsi="Times New Roman"/>
              <w:i/>
              <w:iCs/>
              <w:sz w:val="24"/>
              <w:szCs w:val="24"/>
            </w:rPr>
            <w:t>Nuevos paradigmas en los procesos de  enseñanza-aprendizaje</w:t>
          </w:r>
          <w:r>
            <w:rPr>
              <w:rFonts w:cs="Times New Roman" w:ascii="Times New Roman" w:hAnsi="Times New Roman"/>
              <w:sz w:val="24"/>
              <w:szCs w:val="24"/>
            </w:rPr>
            <w:t>, 66-74.</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González, F., Mitjans Martínez, A., &amp; Bezerra, M. (2016). Psicología en la educación: Implicaciones de la subjetividad en una perspectiva Cultural-Histórica. </w:t>
          </w:r>
          <w:r>
            <w:rPr>
              <w:rFonts w:cs="Times New Roman" w:ascii="Times New Roman" w:hAnsi="Times New Roman"/>
              <w:i/>
              <w:iCs/>
              <w:sz w:val="24"/>
              <w:szCs w:val="24"/>
            </w:rPr>
            <w:t>Revista puertorriqueña de Psicología, 27</w:t>
          </w:r>
          <w:r>
            <w:rPr>
              <w:rFonts w:cs="Times New Roman" w:ascii="Times New Roman" w:hAnsi="Times New Roman"/>
              <w:sz w:val="24"/>
              <w:szCs w:val="24"/>
            </w:rPr>
            <w:t>(2), 260-274.</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Margarito, G. (2019). Motivación y éxito en el rendimiento académico de los estudiantes del instituto de educación superior pedagógico privado Juan Pablo II. Huaral.</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Ortiz, A. M., &amp; Agredal, M. (2018). Gamificación en educación: una panorámica sobre el estado de la cuestión. </w:t>
          </w:r>
          <w:r>
            <w:rPr>
              <w:rFonts w:cs="Times New Roman" w:ascii="Times New Roman" w:hAnsi="Times New Roman"/>
              <w:i/>
              <w:iCs/>
              <w:sz w:val="24"/>
              <w:szCs w:val="24"/>
            </w:rPr>
            <w:t>Educação e Pesquisa</w:t>
          </w:r>
          <w:r>
            <w:rPr>
              <w:rFonts w:cs="Times New Roman" w:ascii="Times New Roman" w:hAnsi="Times New Roman"/>
              <w:sz w:val="24"/>
              <w:szCs w:val="24"/>
            </w:rPr>
            <w:t>, 44.</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Ospina, J. (2006). La motivación, motor del aprendizaje. </w:t>
          </w:r>
          <w:r>
            <w:rPr>
              <w:rFonts w:cs="Times New Roman" w:ascii="Times New Roman" w:hAnsi="Times New Roman"/>
              <w:i/>
              <w:iCs/>
              <w:sz w:val="24"/>
              <w:szCs w:val="24"/>
            </w:rPr>
            <w:t>Rev. Cienc. Salud. Bogotá, 4</w:t>
          </w:r>
          <w:r>
            <w:rPr>
              <w:rFonts w:cs="Times New Roman" w:ascii="Times New Roman" w:hAnsi="Times New Roman"/>
              <w:sz w:val="24"/>
              <w:szCs w:val="24"/>
            </w:rPr>
            <w:t>, 158-160.</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Pérez, R., &amp; Arcila, P. (2020). IMPLICACIONES DE LA TEORIA DE LA SUBJETIVIDAD EN EL PROCESO DE ENSEÑANZA-APRENDIZAJE ESCOLAR.</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Pico, M. (2017). La importancia de la motivación en el rendimiento académico de los estudiantes de secundaria Obligatoria. Obtenido de: </w:t>
          </w:r>
          <w:hyperlink r:id="rId7">
            <w:r>
              <w:rPr>
                <w:rStyle w:val="EnlacedeInternet"/>
                <w:rFonts w:cs="Times New Roman" w:ascii="Times New Roman" w:hAnsi="Times New Roman"/>
                <w:sz w:val="24"/>
                <w:szCs w:val="24"/>
              </w:rPr>
              <w:t>https://dspace.uib.es/xmlui/bitstream/handle/11201/3589/Pico_Lozano_Marta.pdfsequence=1&amp;isAllowed=y</w:t>
            </w:r>
          </w:hyperlink>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Polo, F., &amp; Pingo, G. (2020). MOTIVACIÓN Y DESEMPEÑO ACADÉMICO DE ESTUDIANTES DE ADMINISTRACIÓN. </w:t>
          </w:r>
          <w:r>
            <w:rPr>
              <w:rFonts w:cs="Times New Roman" w:ascii="Times New Roman" w:hAnsi="Times New Roman"/>
              <w:i/>
              <w:iCs/>
              <w:sz w:val="24"/>
              <w:szCs w:val="24"/>
            </w:rPr>
            <w:t>YACHAQ, 2</w:t>
          </w:r>
          <w:r>
            <w:rPr>
              <w:rFonts w:cs="Times New Roman" w:ascii="Times New Roman" w:hAnsi="Times New Roman"/>
              <w:sz w:val="24"/>
              <w:szCs w:val="24"/>
            </w:rPr>
            <w:t>(2), 11-11.</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Quintero, M., &amp; Orozco, G. (2013). El desempeño académico: una opción para la cualificación de las instituciones educativas. </w:t>
          </w:r>
          <w:r>
            <w:rPr>
              <w:rFonts w:cs="Times New Roman" w:ascii="Times New Roman" w:hAnsi="Times New Roman"/>
              <w:i/>
              <w:iCs/>
              <w:sz w:val="24"/>
              <w:szCs w:val="24"/>
            </w:rPr>
            <w:t>Plumilla Educativa, 12</w:t>
          </w:r>
          <w:r>
            <w:rPr>
              <w:rFonts w:cs="Times New Roman" w:ascii="Times New Roman" w:hAnsi="Times New Roman"/>
              <w:sz w:val="24"/>
              <w:szCs w:val="24"/>
            </w:rPr>
            <w:t xml:space="preserve">(2), 93-115. Obtenido de: </w:t>
          </w:r>
          <w:r>
            <w:rPr>
              <w:rStyle w:val="EnlacedeInternet"/>
              <w:rFonts w:cs="Times New Roman" w:ascii="Times New Roman" w:hAnsi="Times New Roman"/>
              <w:sz w:val="24"/>
              <w:szCs w:val="24"/>
            </w:rPr>
            <w:t>https://dialnet.unirioja.es/servlet/articulo?codigo=4756664</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Ramos, R., &amp; Gómez, N. (2019). La influencia del docente sobre la motivación, las estrategias de aprendizaje, pensamiento crítico de los estudiantes y rendimiento académico en el área de Educación Física. </w:t>
          </w:r>
          <w:r>
            <w:rPr>
              <w:rFonts w:cs="Times New Roman" w:ascii="Times New Roman" w:hAnsi="Times New Roman"/>
              <w:i/>
              <w:iCs/>
              <w:sz w:val="24"/>
              <w:szCs w:val="24"/>
            </w:rPr>
            <w:t>Psychology, Society, &amp; Education, 11</w:t>
          </w:r>
          <w:r>
            <w:rPr>
              <w:rFonts w:cs="Times New Roman" w:ascii="Times New Roman" w:hAnsi="Times New Roman"/>
              <w:sz w:val="24"/>
              <w:szCs w:val="24"/>
            </w:rPr>
            <w:t>(1), 137.</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 xml:space="preserve">Rendón, M., &amp; Coronel, M. (2019). Tecnología y motivación para el desempeño académico de alumnos en educación básica. </w:t>
          </w:r>
          <w:r>
            <w:rPr>
              <w:rFonts w:cs="Times New Roman" w:ascii="Times New Roman" w:hAnsi="Times New Roman"/>
              <w:i/>
              <w:iCs/>
              <w:sz w:val="24"/>
              <w:szCs w:val="24"/>
            </w:rPr>
            <w:t>Nuevos paradigmas en los procesos de enseñanza-aprendizaje</w:t>
          </w:r>
          <w:r>
            <w:rPr>
              <w:rFonts w:cs="Times New Roman" w:ascii="Times New Roman" w:hAnsi="Times New Roman"/>
              <w:sz w:val="24"/>
              <w:szCs w:val="24"/>
            </w:rPr>
            <w:t xml:space="preserve">, 66-74. Obtenido de: </w:t>
          </w:r>
          <w:r>
            <w:rPr>
              <w:rStyle w:val="EnlacedeInternet"/>
              <w:rFonts w:cs="Times New Roman" w:ascii="Times New Roman" w:hAnsi="Times New Roman"/>
              <w:sz w:val="24"/>
              <w:szCs w:val="24"/>
            </w:rPr>
            <w:t>http://www.adayapress.com/wp-content/uploads/2019/05/Parad8.pdf</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lang w:val="en-US"/>
            </w:rPr>
            <w:t xml:space="preserve">Rinaudo, M., Chiecher, A., &amp; Donolo, D. (2003). </w:t>
          </w:r>
          <w:r>
            <w:rPr>
              <w:rFonts w:cs="Times New Roman" w:ascii="Times New Roman" w:hAnsi="Times New Roman"/>
              <w:sz w:val="24"/>
              <w:szCs w:val="24"/>
            </w:rPr>
            <w:t xml:space="preserve">Motivación y uso de estrategias en estudiantes universitarios. </w:t>
          </w:r>
          <w:r>
            <w:rPr>
              <w:rFonts w:cs="Times New Roman" w:ascii="Times New Roman" w:hAnsi="Times New Roman"/>
              <w:i/>
              <w:iCs/>
              <w:sz w:val="24"/>
              <w:szCs w:val="24"/>
            </w:rPr>
            <w:t>anales de psicología, 19</w:t>
          </w:r>
          <w:r>
            <w:rPr>
              <w:rFonts w:cs="Times New Roman" w:ascii="Times New Roman" w:hAnsi="Times New Roman"/>
              <w:sz w:val="24"/>
              <w:szCs w:val="24"/>
            </w:rPr>
            <w:t xml:space="preserve">(1), 107-119. Obtenido de: </w:t>
          </w:r>
          <w:r>
            <w:rPr>
              <w:rStyle w:val="EnlacedeInternet"/>
              <w:rFonts w:cs="Times New Roman" w:ascii="Times New Roman" w:hAnsi="Times New Roman"/>
              <w:sz w:val="24"/>
              <w:szCs w:val="24"/>
            </w:rPr>
            <w:t>https://revistas.um.es/analesps/article/view/27901/27031</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Rivera, G. (2013). La motivación del alumno y su relación con el rendimiento académico en los estudiantes de Bachillerato Técnico en Salud Comunitaria del Instituto República Federal de México de Comayagüela. México.</w:t>
          </w:r>
        </w:p>
        <w:p>
          <w:pPr>
            <w:pStyle w:val="Bibliography"/>
            <w:widowControl/>
            <w:suppressAutoHyphens w:val="true"/>
            <w:bidi w:val="0"/>
            <w:spacing w:lineRule="auto" w:line="360" w:before="0" w:after="244"/>
            <w:ind w:left="454" w:right="0" w:hanging="454"/>
            <w:jc w:val="both"/>
            <w:rPr/>
          </w:pPr>
          <w:r>
            <w:rPr>
              <w:rFonts w:cs="Times New Roman" w:ascii="Times New Roman" w:hAnsi="Times New Roman"/>
              <w:sz w:val="24"/>
              <w:szCs w:val="24"/>
            </w:rPr>
            <w:t>Sulgey, D. S. (1997). Estudio de la posible relación entre autoestima, autodirección, motivación en el desempeño académico de alumnos de secundaria de una institución pública del municipio de Funza. Cundinamarca, , Colombia.</w:t>
          </w:r>
        </w:p>
        <w:p>
          <w:pPr>
            <w:pStyle w:val="Bibliography"/>
            <w:widowControl/>
            <w:suppressAutoHyphens w:val="true"/>
            <w:bidi w:val="0"/>
            <w:spacing w:lineRule="auto" w:line="360" w:before="0" w:after="244"/>
            <w:ind w:left="454" w:right="0" w:hanging="454"/>
            <w:jc w:val="both"/>
            <w:rPr/>
          </w:pPr>
          <w:r>
            <w:rPr>
              <w:rFonts w:eastAsia="Calibri" w:cs="Times New Roman" w:ascii="Times New Roman" w:hAnsi="Times New Roman" w:eastAsiaTheme="minorHAnsi"/>
              <w:b w:val="false"/>
              <w:bCs w:val="false"/>
              <w:color w:val="auto"/>
              <w:sz w:val="24"/>
              <w:szCs w:val="24"/>
              <w:lang w:val="es-ES" w:eastAsia="en-US"/>
            </w:rPr>
            <w:t xml:space="preserve">Usán, P., &amp; Salavera, C. (2018). Motivación escolar, inteligencia emocional y rendimiento académico en estudiantes de educación secundaria obligatoria. </w:t>
          </w:r>
          <w:r>
            <w:rPr>
              <w:rFonts w:eastAsia="Calibri" w:cs="Times New Roman" w:ascii="Times New Roman" w:hAnsi="Times New Roman" w:eastAsiaTheme="minorHAnsi"/>
              <w:b w:val="false"/>
              <w:bCs w:val="false"/>
              <w:i/>
              <w:iCs/>
              <w:color w:val="auto"/>
              <w:sz w:val="24"/>
              <w:szCs w:val="24"/>
              <w:lang w:val="es-ES" w:eastAsia="en-US"/>
            </w:rPr>
            <w:t>Actualidades en Psicología, 32</w:t>
          </w:r>
          <w:r>
            <w:rPr>
              <w:rFonts w:eastAsia="Calibri" w:cs="Times New Roman" w:ascii="Times New Roman" w:hAnsi="Times New Roman" w:eastAsiaTheme="minorHAnsi"/>
              <w:b w:val="false"/>
              <w:bCs w:val="false"/>
              <w:color w:val="auto"/>
              <w:sz w:val="24"/>
              <w:szCs w:val="24"/>
              <w:lang w:val="es-ES" w:eastAsia="en-US"/>
            </w:rPr>
            <w:t>(125), 95-112.</w:t>
          </w:r>
        </w:p>
      </w:sdtContent>
    </w:sdt>
    <w:sectPr>
      <w:headerReference w:type="default" r:id="rId8"/>
      <w:footerReference w:type="default" r:id="rId9"/>
      <w:type w:val="nextPage"/>
      <w:pgSz w:w="12240" w:h="15840"/>
      <w:pgMar w:left="1417" w:right="850" w:header="709" w:top="1783" w:footer="709" w:bottom="178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160"/>
      <w:jc w:val="right"/>
      <w:rPr>
        <w:rFonts w:ascii="Times New Roman" w:hAnsi="Times New Roman"/>
        <w:i/>
        <w:i/>
        <w:iCs/>
      </w:rPr>
    </w:pPr>
    <w:r>
      <w:rPr>
        <w:rFonts w:ascii="Times New Roman" w:hAnsi="Times New Roman"/>
        <w:i/>
        <w:iCs/>
      </w:rPr>
      <w:t>https://www.itsup.edu.ec/sinapsis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0" w:after="160"/>
      <w:jc w:val="right"/>
      <w:rPr>
        <w:rFonts w:ascii="Times New Roman" w:hAnsi="Times New Roman"/>
        <w:i/>
        <w:i/>
        <w:iCs/>
      </w:rPr>
    </w:pPr>
    <w:r>
      <w:rPr>
        <w:rFonts w:ascii="Times New Roman" w:hAnsi="Times New Roman"/>
        <w:i/>
        <w:iCs/>
      </w:rPr>
      <w:t>Revista Sinapsis. Vol 3, Nro 18, diciembre de 2020  | ISSN 1390 – 9770</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8d70df"/>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lang w:val="es-EC" w:eastAsia="es-EC"/>
    </w:rPr>
  </w:style>
  <w:style w:type="paragraph" w:styleId="Ttulo2">
    <w:name w:val="Heading 2"/>
    <w:basedOn w:val="Normal"/>
    <w:link w:val="Ttulo2Car"/>
    <w:uiPriority w:val="9"/>
    <w:qFormat/>
    <w:rsid w:val="001f7e5d"/>
    <w:pPr>
      <w:spacing w:lineRule="auto" w:line="240" w:beforeAutospacing="1" w:afterAutospacing="1"/>
      <w:outlineLvl w:val="1"/>
    </w:pPr>
    <w:rPr>
      <w:rFonts w:ascii="Times New Roman" w:hAnsi="Times New Roman" w:eastAsia="Times New Roman" w:cs="Times New Roman"/>
      <w:b/>
      <w:bCs/>
      <w:sz w:val="36"/>
      <w:szCs w:val="36"/>
      <w:lang w:eastAsia="es-ES"/>
    </w:rPr>
  </w:style>
  <w:style w:type="character" w:styleId="DefaultParagraphFont" w:default="1">
    <w:name w:val="Default Paragraph Font"/>
    <w:uiPriority w:val="1"/>
    <w:semiHidden/>
    <w:unhideWhenUsed/>
    <w:qFormat/>
    <w:rPr/>
  </w:style>
  <w:style w:type="character" w:styleId="HTMLconformatoprevioCar" w:customStyle="1">
    <w:name w:val="HTML con formato previo Car"/>
    <w:basedOn w:val="DefaultParagraphFont"/>
    <w:link w:val="HTMLconformatoprevio"/>
    <w:uiPriority w:val="99"/>
    <w:semiHidden/>
    <w:qFormat/>
    <w:rsid w:val="00fb4dd6"/>
    <w:rPr>
      <w:rFonts w:ascii="Courier New" w:hAnsi="Courier New" w:eastAsia="Times New Roman" w:cs="Courier New"/>
      <w:sz w:val="20"/>
      <w:szCs w:val="20"/>
      <w:lang w:eastAsia="es-ES"/>
    </w:rPr>
  </w:style>
  <w:style w:type="character" w:styleId="Annotationreference">
    <w:name w:val="annotation reference"/>
    <w:basedOn w:val="DefaultParagraphFont"/>
    <w:uiPriority w:val="99"/>
    <w:semiHidden/>
    <w:unhideWhenUsed/>
    <w:qFormat/>
    <w:rsid w:val="0083317b"/>
    <w:rPr>
      <w:sz w:val="16"/>
      <w:szCs w:val="16"/>
    </w:rPr>
  </w:style>
  <w:style w:type="character" w:styleId="TextocomentarioCar" w:customStyle="1">
    <w:name w:val="Texto comentario Car"/>
    <w:basedOn w:val="DefaultParagraphFont"/>
    <w:link w:val="Textocomentario"/>
    <w:uiPriority w:val="99"/>
    <w:semiHidden/>
    <w:qFormat/>
    <w:rsid w:val="0083317b"/>
    <w:rPr>
      <w:sz w:val="20"/>
      <w:szCs w:val="20"/>
    </w:rPr>
  </w:style>
  <w:style w:type="character" w:styleId="AsuntodelcomentarioCar" w:customStyle="1">
    <w:name w:val="Asunto del comentario Car"/>
    <w:basedOn w:val="TextocomentarioCar"/>
    <w:link w:val="Asuntodelcomentario"/>
    <w:uiPriority w:val="99"/>
    <w:semiHidden/>
    <w:qFormat/>
    <w:rsid w:val="0083317b"/>
    <w:rPr>
      <w:b/>
      <w:bCs/>
      <w:sz w:val="20"/>
      <w:szCs w:val="20"/>
    </w:rPr>
  </w:style>
  <w:style w:type="character" w:styleId="TextodegloboCar" w:customStyle="1">
    <w:name w:val="Texto de globo Car"/>
    <w:basedOn w:val="DefaultParagraphFont"/>
    <w:link w:val="Textodeglobo"/>
    <w:uiPriority w:val="99"/>
    <w:semiHidden/>
    <w:qFormat/>
    <w:rsid w:val="0083317b"/>
    <w:rPr>
      <w:rFonts w:ascii="Segoe UI" w:hAnsi="Segoe UI" w:cs="Segoe UI"/>
      <w:sz w:val="18"/>
      <w:szCs w:val="18"/>
    </w:rPr>
  </w:style>
  <w:style w:type="character" w:styleId="Ttulo2Car" w:customStyle="1">
    <w:name w:val="Título 2 Car"/>
    <w:basedOn w:val="DefaultParagraphFont"/>
    <w:link w:val="Ttulo2"/>
    <w:uiPriority w:val="9"/>
    <w:qFormat/>
    <w:rsid w:val="001f7e5d"/>
    <w:rPr>
      <w:rFonts w:ascii="Times New Roman" w:hAnsi="Times New Roman" w:eastAsia="Times New Roman" w:cs="Times New Roman"/>
      <w:b/>
      <w:bCs/>
      <w:sz w:val="36"/>
      <w:szCs w:val="36"/>
      <w:lang w:eastAsia="es-ES"/>
    </w:rPr>
  </w:style>
  <w:style w:type="character" w:styleId="Titulo" w:customStyle="1">
    <w:name w:val="titulo"/>
    <w:basedOn w:val="DefaultParagraphFont"/>
    <w:qFormat/>
    <w:rsid w:val="001f7e5d"/>
    <w:rPr/>
  </w:style>
  <w:style w:type="character" w:styleId="Strong">
    <w:name w:val="Strong"/>
    <w:basedOn w:val="DefaultParagraphFont"/>
    <w:uiPriority w:val="22"/>
    <w:qFormat/>
    <w:rsid w:val="001f7e5d"/>
    <w:rPr>
      <w:b/>
      <w:bCs/>
    </w:rPr>
  </w:style>
  <w:style w:type="character" w:styleId="EnlacedeInternet">
    <w:name w:val="Enlace de Internet"/>
    <w:basedOn w:val="DefaultParagraphFont"/>
    <w:uiPriority w:val="99"/>
    <w:unhideWhenUsed/>
    <w:rsid w:val="001f7e5d"/>
    <w:rPr>
      <w:color w:val="0000FF"/>
      <w:u w:val="single"/>
    </w:rPr>
  </w:style>
  <w:style w:type="character" w:styleId="HTMLAcronym">
    <w:name w:val="HTML Acronym"/>
    <w:basedOn w:val="DefaultParagraphFont"/>
    <w:uiPriority w:val="99"/>
    <w:semiHidden/>
    <w:unhideWhenUsed/>
    <w:qFormat/>
    <w:rsid w:val="001f7e5d"/>
    <w:rPr/>
  </w:style>
  <w:style w:type="character" w:styleId="Hgkelc" w:customStyle="1">
    <w:name w:val="hgkelc"/>
    <w:basedOn w:val="DefaultParagraphFont"/>
    <w:qFormat/>
    <w:rsid w:val="00c264da"/>
    <w:rPr/>
  </w:style>
  <w:style w:type="character" w:styleId="Orcididhttps" w:customStyle="1">
    <w:name w:val="orcid-id-https"/>
    <w:basedOn w:val="DefaultParagraphFont"/>
    <w:qFormat/>
    <w:rsid w:val="000f567d"/>
    <w:rPr/>
  </w:style>
  <w:style w:type="character" w:styleId="Highlight" w:customStyle="1">
    <w:name w:val="highlight"/>
    <w:basedOn w:val="DefaultParagraphFont"/>
    <w:qFormat/>
    <w:rsid w:val="005c02bd"/>
    <w:rPr/>
  </w:style>
  <w:style w:type="character" w:styleId="Ttulo1Car" w:customStyle="1">
    <w:name w:val="Título 1 Car"/>
    <w:basedOn w:val="DefaultParagraphFont"/>
    <w:link w:val="Ttulo1"/>
    <w:uiPriority w:val="9"/>
    <w:qFormat/>
    <w:rsid w:val="008d70df"/>
    <w:rPr>
      <w:rFonts w:ascii="Calibri Light" w:hAnsi="Calibri Light" w:eastAsia="" w:cs="" w:asciiTheme="majorHAnsi" w:cstheme="majorBidi" w:eastAsiaTheme="majorEastAsia" w:hAnsiTheme="majorHAnsi"/>
      <w:color w:val="2E74B5" w:themeColor="accent1" w:themeShade="bf"/>
      <w:sz w:val="32"/>
      <w:szCs w:val="32"/>
      <w:lang w:val="es-EC" w:eastAsia="es-EC"/>
    </w:rPr>
  </w:style>
  <w:style w:type="character" w:styleId="A10" w:customStyle="1">
    <w:name w:val="A10"/>
    <w:uiPriority w:val="99"/>
    <w:qFormat/>
    <w:rsid w:val="00733ab9"/>
    <w:rPr>
      <w:b/>
      <w:bCs/>
      <w:color w:val="000000"/>
      <w:sz w:val="21"/>
      <w:szCs w:val="21"/>
    </w:rPr>
  </w:style>
  <w:style w:type="character" w:styleId="A11" w:customStyle="1">
    <w:name w:val="A11"/>
    <w:uiPriority w:val="99"/>
    <w:qFormat/>
    <w:rsid w:val="00733ab9"/>
    <w:rPr>
      <w:rFonts w:ascii="Arial" w:hAnsi="Arial" w:cs="Arial"/>
      <w:b/>
      <w:bCs/>
      <w:color w:val="000000"/>
      <w:sz w:val="11"/>
      <w:szCs w:val="1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6f650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es-ES" w:eastAsia="en-US" w:bidi="ar-SA"/>
    </w:rPr>
  </w:style>
  <w:style w:type="paragraph" w:styleId="HTMLPreformatted">
    <w:name w:val="HTML Preformatted"/>
    <w:basedOn w:val="Normal"/>
    <w:link w:val="HTMLconformatoprevioCar"/>
    <w:uiPriority w:val="99"/>
    <w:semiHidden/>
    <w:unhideWhenUsed/>
    <w:qFormat/>
    <w:rsid w:val="00fb4dd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paragraph" w:styleId="Annotationtext">
    <w:name w:val="annotation text"/>
    <w:basedOn w:val="Normal"/>
    <w:link w:val="TextocomentarioCar"/>
    <w:uiPriority w:val="99"/>
    <w:semiHidden/>
    <w:unhideWhenUsed/>
    <w:qFormat/>
    <w:rsid w:val="0083317b"/>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83317b"/>
    <w:pPr/>
    <w:rPr>
      <w:b/>
      <w:bCs/>
    </w:rPr>
  </w:style>
  <w:style w:type="paragraph" w:styleId="BalloonText">
    <w:name w:val="Balloon Text"/>
    <w:basedOn w:val="Normal"/>
    <w:link w:val="TextodegloboCar"/>
    <w:uiPriority w:val="99"/>
    <w:semiHidden/>
    <w:unhideWhenUsed/>
    <w:qFormat/>
    <w:rsid w:val="0083317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f1779"/>
    <w:pPr>
      <w:spacing w:before="0" w:after="160"/>
      <w:ind w:left="720" w:hanging="0"/>
      <w:contextualSpacing/>
    </w:pPr>
    <w:rPr/>
  </w:style>
  <w:style w:type="paragraph" w:styleId="Bibliography">
    <w:name w:val="Bibliography"/>
    <w:basedOn w:val="Normal"/>
    <w:next w:val="Normal"/>
    <w:uiPriority w:val="37"/>
    <w:unhideWhenUsed/>
    <w:qFormat/>
    <w:rsid w:val="008d70df"/>
    <w:pPr/>
    <w:rPr/>
  </w:style>
  <w:style w:type="paragraph" w:styleId="NormalWeb">
    <w:name w:val="Normal (Web)"/>
    <w:basedOn w:val="Normal"/>
    <w:uiPriority w:val="99"/>
    <w:semiHidden/>
    <w:unhideWhenUsed/>
    <w:qFormat/>
    <w:rsid w:val="00c57683"/>
    <w:pPr>
      <w:spacing w:lineRule="auto" w:line="240" w:beforeAutospacing="1" w:afterAutospacing="1"/>
    </w:pPr>
    <w:rPr>
      <w:rFonts w:ascii="Times New Roman" w:hAnsi="Times New Roman" w:eastAsia="Times New Roman" w:cs="Times New Roman"/>
      <w:sz w:val="24"/>
      <w:szCs w:val="24"/>
      <w:lang w:val="es-EC" w:eastAsia="es-EC"/>
    </w:rPr>
  </w:style>
  <w:style w:type="paragraph" w:styleId="Pa10" w:customStyle="1">
    <w:name w:val="Pa10"/>
    <w:basedOn w:val="Default"/>
    <w:next w:val="Default"/>
    <w:uiPriority w:val="99"/>
    <w:qFormat/>
    <w:rsid w:val="00733ab9"/>
    <w:pPr>
      <w:spacing w:lineRule="atLeast" w:line="361"/>
    </w:pPr>
    <w:rPr>
      <w:color w:val="auto"/>
    </w:rPr>
  </w:style>
  <w:style w:type="paragraph" w:styleId="Pa20" w:customStyle="1">
    <w:name w:val="Pa20"/>
    <w:basedOn w:val="Default"/>
    <w:next w:val="Default"/>
    <w:uiPriority w:val="99"/>
    <w:qFormat/>
    <w:rsid w:val="00733ab9"/>
    <w:pPr>
      <w:spacing w:lineRule="atLeast" w:line="201"/>
    </w:pPr>
    <w:rPr>
      <w:color w:val="auto"/>
    </w:rPr>
  </w:style>
  <w:style w:type="paragraph" w:styleId="Cabeceraypie">
    <w:name w:val="Cabecera y pie"/>
    <w:basedOn w:val="Normal"/>
    <w:qFormat/>
    <w:pPr>
      <w:suppressLineNumbers/>
      <w:tabs>
        <w:tab w:val="clear" w:pos="708"/>
        <w:tab w:val="center" w:pos="4986" w:leader="none"/>
        <w:tab w:val="right" w:pos="9973"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PlainTable4">
    <w:name w:val="Plain Table 4"/>
    <w:basedOn w:val="Tablanormal"/>
    <w:uiPriority w:val="44"/>
    <w:rsid w:val="001f5358"/>
    <w:pPr>
      <w:spacing w:after="0" w:line="240" w:lineRule="auto"/>
    </w:pPr>
    <w:tblPr>
      <w:tblStyleRowBandSize w:val="1"/>
      <w:tblStyleColBandSize w:val="1"/>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5">
    <w:name w:val="Grid Table 3 Accent 5"/>
    <w:basedOn w:val="Tablanormal"/>
    <w:uiPriority w:val="48"/>
    <w:rsid w:val="001f5358"/>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color="8EAADB" w:themeColor="accent5" w:sz="4" w:space="0"/>
        </w:tcBorders>
      </w:tcPr>
    </w:tblStylePr>
    <w:tblStylePr w:type="nwCell">
      <w:tblPr/>
      <w:tcPr>
        <w:tcBorders>
          <w:bottom w:val="single" w:color="8EAADB" w:themeColor="accent5" w:sz="4" w:space="0"/>
        </w:tcBorders>
      </w:tcPr>
    </w:tblStylePr>
    <w:tblStylePr w:type="seCell">
      <w:tblPr/>
      <w:tcPr>
        <w:tcBorders>
          <w:top w:val="single" w:color="8EAADB" w:themeColor="accent5" w:sz="4" w:space="0"/>
        </w:tcBorders>
      </w:tcPr>
    </w:tblStylePr>
    <w:tblStylePr w:type="swCell">
      <w:tblPr/>
      <w:tcPr>
        <w:tcBorders>
          <w:top w:val="single" w:color="8EAADB" w:themeColor="accent5" w:sz="4" w:space="0"/>
        </w:tcBorders>
      </w:tcPr>
    </w:tblStylePr>
  </w:style>
  <w:style w:type="table" w:customStyle="1" w:styleId="GridTable3Accent1">
    <w:name w:val="Grid Table 3 Accent 1"/>
    <w:basedOn w:val="Tablanormal"/>
    <w:uiPriority w:val="48"/>
    <w:rsid w:val="001f5358"/>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color="9CC2E5" w:themeColor="accent1" w:sz="4" w:space="0"/>
        </w:tcBorders>
      </w:tcPr>
    </w:tblStylePr>
    <w:tblStylePr w:type="nwCell">
      <w:tblPr/>
      <w:tcPr>
        <w:tcBorders>
          <w:bottom w:val="single" w:color="9CC2E5" w:themeColor="accent1" w:sz="4" w:space="0"/>
        </w:tcBorders>
      </w:tcPr>
    </w:tblStylePr>
    <w:tblStylePr w:type="seCell">
      <w:tblPr/>
      <w:tcPr>
        <w:tcBorders>
          <w:top w:val="single" w:color="9CC2E5" w:themeColor="accent1" w:sz="4" w:space="0"/>
        </w:tcBorders>
      </w:tcPr>
    </w:tblStylePr>
    <w:tblStylePr w:type="swCell">
      <w:tblPr/>
      <w:tcPr>
        <w:tcBorders>
          <w:top w:val="single" w:color="9CC2E5" w:themeColor="accent1" w:sz="4" w:space="0"/>
        </w:tcBorders>
      </w:tcPr>
    </w:tblStylePr>
  </w:style>
  <w:style w:type="table" w:customStyle="1" w:styleId="ListTable1LightAccent2">
    <w:name w:val="List Table 1 Light Accent 2"/>
    <w:basedOn w:val="Tablanormal"/>
    <w:uiPriority w:val="46"/>
    <w:rsid w:val="001f5358"/>
    <w:pPr>
      <w:spacing w:after="0" w:line="240" w:lineRule="auto"/>
    </w:pPr>
    <w:tblPr>
      <w:tblStyleRowBandSize w:val="1"/>
      <w:tblStyleColBandSize w:val="1"/>
      <w:tblCellMar>
        <w:top w:w="0" w:type="dxa"/>
        <w:left w:w="108" w:type="dxa"/>
        <w:bottom w:w="0" w:type="dxa"/>
        <w:right w:w="108" w:type="dxa"/>
      </w:tblCellMar>
    </w:tblPr>
    <w:tblStylePr w:type="firstRow">
      <w:rPr>
        <w:b/>
        <w:bCs/>
      </w:rPr>
      <w:tblPr/>
      <w:tcPr>
        <w:tcBorders>
          <w:bottom w:val="single" w:color="F4B083" w:themeColor="accent2" w:sz="4" w:space="0"/>
        </w:tcBorders>
      </w:tcPr>
    </w:tblStylePr>
    <w:tblStylePr w:type="lastRow">
      <w:rPr>
        <w:b/>
        <w:bCs/>
      </w:rPr>
      <w:tblPr/>
      <w:tcPr>
        <w:tcBorders>
          <w:top w:val="single" w:color="F4B083"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5">
    <w:name w:val="List Table 1 Light Accent 5"/>
    <w:basedOn w:val="Tablanormal"/>
    <w:uiPriority w:val="46"/>
    <w:rsid w:val="001f5358"/>
    <w:pPr>
      <w:spacing w:after="0" w:line="240" w:lineRule="auto"/>
    </w:pPr>
    <w:tblPr>
      <w:tblStyleRowBandSize w:val="1"/>
      <w:tblStyleColBandSize w:val="1"/>
      <w:tblCellMar>
        <w:top w:w="0" w:type="dxa"/>
        <w:left w:w="108" w:type="dxa"/>
        <w:bottom w:w="0" w:type="dxa"/>
        <w:right w:w="108" w:type="dxa"/>
      </w:tblCellMar>
    </w:tblPr>
    <w:tblStylePr w:type="firstRow">
      <w:rPr>
        <w:b/>
        <w:bCs/>
      </w:rPr>
      <w:tblPr/>
      <w:tcPr>
        <w:tcBorders>
          <w:bottom w:val="single" w:color="8EAADB" w:themeColor="accent5" w:sz="4" w:space="0"/>
        </w:tcBorders>
      </w:tcPr>
    </w:tblStylePr>
    <w:tblStylePr w:type="lastRow">
      <w:rPr>
        <w:b/>
        <w:bCs/>
      </w:rPr>
      <w:tblPr/>
      <w:tcPr>
        <w:tcBorders>
          <w:top w:val="sing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anormal"/>
    <w:uiPriority w:val="51"/>
    <w:rsid w:val="001f5358"/>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2">
    <w:name w:val="Grid Table 3 Accent 2"/>
    <w:basedOn w:val="Tablanormal"/>
    <w:uiPriority w:val="48"/>
    <w:rsid w:val="001f535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sz="4" w:space="0"/>
        </w:tcBorders>
      </w:tcPr>
    </w:tblStylePr>
    <w:tblStylePr w:type="nwCell">
      <w:tblPr/>
      <w:tcPr>
        <w:tcBorders>
          <w:bottom w:val="single" w:color="F4B083" w:themeColor="accent2" w:sz="4" w:space="0"/>
        </w:tcBorders>
      </w:tcPr>
    </w:tblStylePr>
    <w:tblStylePr w:type="seCell">
      <w:tblPr/>
      <w:tcPr>
        <w:tcBorders>
          <w:top w:val="single" w:color="F4B083" w:themeColor="accent2" w:sz="4" w:space="0"/>
        </w:tcBorders>
      </w:tcPr>
    </w:tblStylePr>
    <w:tblStylePr w:type="swCell">
      <w:tblPr/>
      <w:tcPr>
        <w:tcBorders>
          <w:top w:val="single" w:color="F4B083" w:themeColor="accent2" w:sz="4" w:space="0"/>
        </w:tcBorders>
      </w:tcPr>
    </w:tblStylePr>
  </w:style>
  <w:style w:type="table" w:customStyle="1" w:styleId="PlainTable5">
    <w:name w:val="Plain Table 5"/>
    <w:basedOn w:val="Tablanormal"/>
    <w:uiPriority w:val="45"/>
    <w:rsid w:val="001f5358"/>
    <w:pPr>
      <w:spacing w:after="0" w:line="240" w:lineRule="auto"/>
    </w:pPr>
    <w:tblPr>
      <w:tblStyleRowBandSize w:val="1"/>
      <w:tblStyleColBandSize w:val="1"/>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
    <w:name w:val="List Table 2 Accent 3"/>
    <w:basedOn w:val="Tablanormal"/>
    <w:uiPriority w:val="47"/>
    <w:rsid w:val="001f5358"/>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
    <w:name w:val="List Table 1 Light"/>
    <w:basedOn w:val="Tablanormal"/>
    <w:uiPriority w:val="46"/>
    <w:rsid w:val="001f5358"/>
    <w:pPr>
      <w:spacing w:after="0" w:line="240" w:lineRule="auto"/>
    </w:pPr>
    <w:tblPr>
      <w:tblStyleRowBandSize w:val="1"/>
      <w:tblStyleColBandSize w:val="1"/>
      <w:tblCellMar>
        <w:top w:w="0" w:type="dxa"/>
        <w:left w:w="108" w:type="dxa"/>
        <w:bottom w:w="0" w:type="dxa"/>
        <w:right w:w="108" w:type="dxa"/>
      </w:tblCellMar>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5">
    <w:name w:val="List Table 6 Colorful Accent 5"/>
    <w:basedOn w:val="Tablanormal"/>
    <w:uiPriority w:val="51"/>
    <w:rsid w:val="001f5358"/>
    <w:pPr>
      <w:spacing w:after="0" w:line="240" w:lineRule="auto"/>
    </w:pPr>
    <w:rPr>
      <w:color w:val="2F5496" w:themeColor="accent5" w:themeShade="bf"/>
    </w:rPr>
    <w:tblPr>
      <w:tblStyleRowBandSize w:val="1"/>
      <w:tblStyleColBandSize w:val="1"/>
      <w:tblBorders>
        <w:top w:val="single" w:color="4472C4" w:themeColor="accent5" w:sz="4" w:space="0"/>
        <w:bottom w:val="single" w:color="4472C4" w:themeColor="accent5" w:sz="4" w:space="0"/>
      </w:tblBorders>
      <w:tblCellMar>
        <w:top w:w="0" w:type="dxa"/>
        <w:left w:w="108" w:type="dxa"/>
        <w:bottom w:w="0" w:type="dxa"/>
        <w:right w:w="108" w:type="dxa"/>
      </w:tblCellMar>
    </w:tblPr>
    <w:tblStylePr w:type="firstRow">
      <w:rPr>
        <w:b/>
        <w:bCs/>
      </w:rPr>
      <w:tblPr/>
      <w:tcPr>
        <w:tcBorders>
          <w:bottom w:val="single" w:color="4472C4" w:themeColor="accent5" w:sz="4" w:space="0"/>
        </w:tcBorders>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4">
    <w:name w:val="List Table 2 Accent 4"/>
    <w:basedOn w:val="Tablanormal"/>
    <w:uiPriority w:val="47"/>
    <w:rsid w:val="001f5358"/>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
    <w:name w:val="Grid Table 1 Light Accent 4"/>
    <w:basedOn w:val="Tablanormal"/>
    <w:uiPriority w:val="46"/>
    <w:rsid w:val="001f5358"/>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CellMar>
        <w:top w:w="0" w:type="dxa"/>
        <w:left w:w="108" w:type="dxa"/>
        <w:bottom w:w="0" w:type="dxa"/>
        <w:right w:w="108" w:type="dxa"/>
      </w:tblCellMar>
    </w:tblPr>
    <w:tblStylePr w:type="firstRow">
      <w:rPr>
        <w:b/>
        <w:bCs/>
      </w:rPr>
      <w:tblPr/>
      <w:tcPr>
        <w:tcBorders>
          <w:bottom w:val="single" w:color="FFD966" w:themeColor="accent4" w:sz="12" w:space="0"/>
        </w:tcBorders>
      </w:tcPr>
    </w:tblStylePr>
    <w:tblStylePr w:type="lastRow">
      <w:rPr>
        <w:b/>
        <w:bCs/>
      </w:rPr>
      <w:tblPr/>
      <w:tcPr>
        <w:tcBorders>
          <w:top w:val="double" w:color="FFD966" w:themeColor="accent4" w:sz="2" w:space="0"/>
        </w:tcBorders>
      </w:tcPr>
    </w:tblStylePr>
    <w:tblStylePr w:type="firstCol">
      <w:rPr>
        <w:b/>
        <w:bCs/>
      </w:rPr>
      <w:tblPr/>
    </w:tblStylePr>
    <w:tblStylePr w:type="lastCol">
      <w:rPr>
        <w:b/>
        <w:bCs/>
      </w:rPr>
      <w:tblPr/>
    </w:tblStylePr>
  </w:style>
  <w:style w:type="table" w:customStyle="1" w:styleId="GridTable1LightAccent5">
    <w:name w:val="Grid Table 1 Light Accent 5"/>
    <w:basedOn w:val="Tablanormal"/>
    <w:uiPriority w:val="46"/>
    <w:rsid w:val="001f5358"/>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CellMar>
        <w:top w:w="0" w:type="dxa"/>
        <w:left w:w="108" w:type="dxa"/>
        <w:bottom w:w="0" w:type="dxa"/>
        <w:right w:w="108" w:type="dxa"/>
      </w:tblCellMar>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 w:type="table" w:customStyle="1" w:styleId="GridTable1LightAccent1">
    <w:name w:val="Grid Table 1 Light Accent 1"/>
    <w:basedOn w:val="Tablanormal"/>
    <w:uiPriority w:val="46"/>
    <w:rsid w:val="001f5358"/>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w:type="firstRow">
      <w:rPr>
        <w:b/>
        <w:bCs/>
      </w:rPr>
      <w:tblPr/>
      <w:tcPr>
        <w:tcBorders>
          <w:bottom w:val="single" w:color="9CC2E5" w:themeColor="accent1" w:sz="12" w:space="0"/>
        </w:tcBorders>
      </w:tcPr>
    </w:tblStylePr>
    <w:tblStylePr w:type="lastRow">
      <w:rPr>
        <w:b/>
        <w:bCs/>
      </w:rPr>
      <w:tblPr/>
      <w:tcPr>
        <w:tcBorders>
          <w:top w:val="double" w:color="9CC2E5" w:themeColor="accent1" w:sz="2" w:space="0"/>
        </w:tcBorders>
      </w:tcPr>
    </w:tblStylePr>
    <w:tblStylePr w:type="firstCol">
      <w:rPr>
        <w:b/>
        <w:bCs/>
      </w:rPr>
      <w:tblPr/>
    </w:tblStylePr>
    <w:tblStylePr w:type="lastCol">
      <w:rPr>
        <w:b/>
        <w:bCs/>
      </w:rPr>
      <w:tblPr/>
    </w:tblStylePr>
  </w:style>
  <w:style w:type="table" w:customStyle="1" w:styleId="GridTable2Accent5">
    <w:name w:val="Grid Table 2 Accent 5"/>
    <w:basedOn w:val="Tablanormal"/>
    <w:uiPriority w:val="47"/>
    <w:rsid w:val="001f5358"/>
    <w:pPr>
      <w:spacing w:after="0" w:line="240" w:lineRule="auto"/>
    </w:pPr>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CellMar>
        <w:top w:w="0" w:type="dxa"/>
        <w:left w:w="108" w:type="dxa"/>
        <w:bottom w:w="0" w:type="dxa"/>
        <w:right w:w="108" w:type="dxa"/>
      </w:tblCellMar>
    </w:tblPr>
    <w:tblStylePr w:type="firstRow">
      <w:rPr>
        <w:b/>
        <w:bCs/>
      </w:rPr>
      <w:tblPr/>
      <w:tcPr>
        <w:tcBorders>
          <w:top w:val="nil"/>
          <w:bottom w:val="single" w:color="8EAADB" w:themeColor="accent5" w:sz="12" w:space="0"/>
          <w:insideH w:val="nil"/>
          <w:insideV w:val="nil"/>
        </w:tcBorders>
        <w:shd w:val="clear" w:color="auto" w:fill="FFFFFF" w:themeFill="background1"/>
      </w:tcPr>
    </w:tblStylePr>
    <w:tblStylePr w:type="lastRow">
      <w:rPr>
        <w:b/>
        <w:bCs/>
      </w:rPr>
      <w:tblPr/>
      <w:tcPr>
        <w:tcBorders>
          <w:top w:val="double" w:color="8EAADB"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
    <w:name w:val="Plain Table 1"/>
    <w:basedOn w:val="Tablanormal"/>
    <w:uiPriority w:val="41"/>
    <w:rsid w:val="001f5358"/>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Accent1">
    <w:name w:val="List Table 2 Accent 1"/>
    <w:basedOn w:val="Tablanormal"/>
    <w:uiPriority w:val="47"/>
    <w:rsid w:val="001f5358"/>
    <w:pPr>
      <w:spacing w:after="0" w:line="240" w:lineRule="auto"/>
    </w:pPr>
    <w:tblPr>
      <w:tblStyleRowBandSize w:val="1"/>
      <w:tblStyleColBandSize w:val="1"/>
      <w:tblBorders>
        <w:top w:val="single" w:color="9CC2E5" w:themeColor="accent1" w:themeTint="99" w:sz="4" w:space="0"/>
        <w:bottom w:val="single" w:color="9CC2E5" w:themeColor="accent1" w:themeTint="99" w:sz="4" w:space="0"/>
        <w:insideH w:val="single" w:color="9CC2E5" w:themeColor="accent1"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7ColorfulAccent2">
    <w:name w:val="Grid Table 7 Colorful Accent 2"/>
    <w:basedOn w:val="Tablanormal"/>
    <w:uiPriority w:val="52"/>
    <w:rsid w:val="001f535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sz="4" w:space="0"/>
        </w:tcBorders>
      </w:tcPr>
    </w:tblStylePr>
    <w:tblStylePr w:type="nwCell">
      <w:tblPr/>
      <w:tcPr>
        <w:tcBorders>
          <w:bottom w:val="single" w:color="F4B083" w:themeColor="accent2" w:sz="4" w:space="0"/>
        </w:tcBorders>
      </w:tcPr>
    </w:tblStylePr>
    <w:tblStylePr w:type="seCell">
      <w:tblPr/>
      <w:tcPr>
        <w:tcBorders>
          <w:top w:val="single" w:color="F4B083" w:themeColor="accent2" w:sz="4" w:space="0"/>
        </w:tcBorders>
      </w:tcPr>
    </w:tblStylePr>
    <w:tblStylePr w:type="swCell">
      <w:tblPr/>
      <w:tcPr>
        <w:tcBorders>
          <w:top w:val="single" w:color="F4B083" w:themeColor="accent2" w:sz="4" w:space="0"/>
        </w:tcBorders>
      </w:tcPr>
    </w:tblStylePr>
  </w:style>
  <w:style w:type="table" w:customStyle="1" w:styleId="GridTable3Accent4">
    <w:name w:val="Grid Table 3 Accent 4"/>
    <w:basedOn w:val="Tablanormal"/>
    <w:uiPriority w:val="48"/>
    <w:rsid w:val="001f5358"/>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sz="4" w:space="0"/>
        </w:tcBorders>
      </w:tcPr>
    </w:tblStylePr>
    <w:tblStylePr w:type="nwCell">
      <w:tblPr/>
      <w:tcPr>
        <w:tcBorders>
          <w:bottom w:val="single" w:color="FFD966" w:themeColor="accent4" w:sz="4" w:space="0"/>
        </w:tcBorders>
      </w:tcPr>
    </w:tblStylePr>
    <w:tblStylePr w:type="seCell">
      <w:tblPr/>
      <w:tcPr>
        <w:tcBorders>
          <w:top w:val="single" w:color="FFD966" w:themeColor="accent4" w:sz="4" w:space="0"/>
        </w:tcBorders>
      </w:tcPr>
    </w:tblStylePr>
    <w:tblStylePr w:type="swCell">
      <w:tblPr/>
      <w:tcPr>
        <w:tcBorders>
          <w:top w:val="single" w:color="FFD966" w:themeColor="accent4" w:sz="4" w:space="0"/>
        </w:tcBorders>
      </w:tcPr>
    </w:tblStylePr>
  </w:style>
  <w:style w:type="table" w:customStyle="1" w:styleId="ListTable6ColorfulAccent1">
    <w:name w:val="List Table 6 Colorful Accent 1"/>
    <w:basedOn w:val="Tablanormal"/>
    <w:uiPriority w:val="51"/>
    <w:rsid w:val="001f5358"/>
    <w:pPr>
      <w:spacing w:after="0" w:line="240" w:lineRule="auto"/>
    </w:pPr>
    <w:rPr>
      <w:color w:val="2E74B5" w:themeColor="accent1" w:themeShade="bf"/>
    </w:rPr>
    <w:tblPr>
      <w:tblStyleRowBandSize w:val="1"/>
      <w:tblStyleColBandSize w:val="1"/>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bCs/>
      </w:rPr>
      <w:tblPr/>
      <w:tcPr>
        <w:tcBorders>
          <w:bottom w:val="single" w:color="5B9BD5" w:themeColor="accent1" w:sz="4" w:space="0"/>
        </w:tcBorders>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
    <w:name w:val="List Table 2 Accent 5"/>
    <w:basedOn w:val="Tablanormal"/>
    <w:uiPriority w:val="47"/>
    <w:rsid w:val="001f5358"/>
    <w:pPr>
      <w:spacing w:after="0" w:line="240" w:lineRule="auto"/>
    </w:pPr>
    <w:tblPr>
      <w:tblStyleRowBandSize w:val="1"/>
      <w:tblStyleColBandSize w:val="1"/>
      <w:tblBorders>
        <w:top w:val="single" w:color="8EAADB" w:themeColor="accent5" w:themeTint="99" w:sz="4" w:space="0"/>
        <w:bottom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anormal"/>
    <w:uiPriority w:val="51"/>
    <w:rsid w:val="001f5358"/>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CellMar>
        <w:top w:w="0" w:type="dxa"/>
        <w:left w:w="108" w:type="dxa"/>
        <w:bottom w:w="0" w:type="dxa"/>
        <w:right w:w="108" w:type="dxa"/>
      </w:tblCellMar>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5">
    <w:name w:val="List Table 4 Accent 5"/>
    <w:basedOn w:val="Tablanormal"/>
    <w:uiPriority w:val="49"/>
    <w:rsid w:val="00196e80"/>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
    <w:name w:val="List Table 3 Accent 5"/>
    <w:basedOn w:val="Tablanormal"/>
    <w:uiPriority w:val="48"/>
    <w:rsid w:val="00196e80"/>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color="4472C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5" w:sz="4" w:space="0"/>
          <w:right w:val="single" w:color="4472C4" w:themeColor="accent5" w:sz="4" w:space="0"/>
        </w:tcBorders>
      </w:tcPr>
    </w:tblStylePr>
    <w:tblStylePr w:type="band1Horz">
      <w:tblPr/>
      <w:tcPr>
        <w:tcBorders>
          <w:top w:val="single" w:color="4472C4" w:themeColor="accent5" w:sz="4" w:space="0"/>
          <w:bottom w:val="single" w:color="4472C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5" w:sz="4" w:space="0"/>
          <w:left w:val="nil"/>
        </w:tcBorders>
      </w:tcPr>
    </w:tblStylePr>
    <w:tblStylePr w:type="swCell">
      <w:tblPr/>
      <w:tcPr>
        <w:tcBorders>
          <w:top w:val="double" w:color="4472C4" w:themeColor="accent5" w:sz="4" w:space="0"/>
          <w:right w:val="nil"/>
        </w:tcBorders>
      </w:tcPr>
    </w:tblStylePr>
  </w:style>
  <w:style w:type="table" w:customStyle="1" w:styleId="ListTable1LightAccent3">
    <w:name w:val="List Table 1 Light Accent 3"/>
    <w:basedOn w:val="Tablanormal"/>
    <w:uiPriority w:val="46"/>
    <w:rsid w:val="00a22cc6"/>
    <w:pPr>
      <w:spacing w:after="0" w:line="240" w:lineRule="auto"/>
    </w:pPr>
    <w:tblPr>
      <w:tblStyleRowBandSize w:val="1"/>
      <w:tblStyleColBandSize w:val="1"/>
      <w:tblCellMar>
        <w:top w:w="0" w:type="dxa"/>
        <w:left w:w="108" w:type="dxa"/>
        <w:bottom w:w="0" w:type="dxa"/>
        <w:right w:w="108" w:type="dxa"/>
      </w:tblCellMar>
    </w:tblPr>
    <w:tblStylePr w:type="firstRow">
      <w:rPr>
        <w:b/>
        <w:bCs/>
      </w:rPr>
      <w:tblPr/>
      <w:tcPr>
        <w:tcBorders>
          <w:bottom w:val="single" w:color="C9C9C9" w:themeColor="accent3" w:sz="4" w:space="0"/>
        </w:tcBorders>
      </w:tcPr>
    </w:tblStylePr>
    <w:tblStylePr w:type="lastRow">
      <w:rPr>
        <w:b/>
        <w:bCs/>
      </w:rPr>
      <w:tblPr/>
      <w:tcPr>
        <w:tcBorders>
          <w:top w:val="single" w:color="C9C9C9"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Tablanormal"/>
    <w:uiPriority w:val="49"/>
    <w:rsid w:val="00a22cc6"/>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2">
    <w:name w:val="Plain Table 2"/>
    <w:basedOn w:val="Tablanormal"/>
    <w:uiPriority w:val="42"/>
    <w:rsid w:val="00e27ba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dreysoledispa5@gmail.com" TargetMode="External"/><Relationship Id="rId3" Type="http://schemas.openxmlformats.org/officeDocument/2006/relationships/hyperlink" Target="mailto:eve.jss2020@gmail.com" TargetMode="External"/><Relationship Id="rId4" Type="http://schemas.openxmlformats.org/officeDocument/2006/relationships/hyperlink" Target="mailto:rafaels947@hotmail.com" TargetMode="External"/><Relationship Id="rId5" Type="http://schemas.openxmlformats.org/officeDocument/2006/relationships/hyperlink" Target="mailto:audreysoledispa5@gmail.com" TargetMode="External"/><Relationship Id="rId6" Type="http://schemas.openxmlformats.org/officeDocument/2006/relationships/hyperlink" Target="https://revistas.um.es/analesps/article/view/analesps.28.3.156101/150191" TargetMode="External"/><Relationship Id="rId7" Type="http://schemas.openxmlformats.org/officeDocument/2006/relationships/hyperlink" Target="https://dspace.uib.es/xmlui/bitstream/handle/11201/3589/Pico_Lozano_Marta.pdf?sequence=1&amp;isAllowed=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Gil19</b:Tag>
    <b:SourceType>JournalArticle</b:SourceType>
    <b:Guid>{CAABC003-AD72-4EA5-AB05-784A10405EDD}</b:Guid>
    <b:Author>
      <b:Author>
        <b:NameList>
          <b:Person>
            <b:Last>Gil</b:Last>
            <b:First>María</b:First>
          </b:Person>
          <b:Person>
            <b:Last>Monroy</b:Last>
            <b:First>Mariana</b:First>
          </b:Person>
        </b:NameList>
      </b:Author>
    </b:Author>
    <b:Title> Tecnología y motivación para el desempeño académico de alumnos en educación básica</b:Title>
    <b:JournalName>Nuevos paradigmas en los procesos de enseñanza-aprendizaje</b:JournalName>
    <b:Year>2019</b:Year>
    <b:Pages>66-74</b:Pages>
    <b:RefOrder>3</b:RefOrder>
  </b:Source>
  <b:Source>
    <b:Tag>Pic17</b:Tag>
    <b:SourceType>Misc</b:SourceType>
    <b:Guid>{778EFD69-F58C-4E10-A39F-3FECD96A1E5A}</b:Guid>
    <b:Author>
      <b:Author>
        <b:NameList>
          <b:Person>
            <b:Last>Pico</b:Last>
            <b:First>Marta</b:First>
          </b:Person>
        </b:NameList>
      </b:Author>
    </b:Author>
    <b:Title>La importancia de la motivación en el rendimiento académico de los estudiantes de secundaria Obligatoria</b:Title>
    <b:Year>2017</b:Year>
    <b:URL>https://dspace.uib.es/xmlui/bitstream/handle/11201/3589/Pico_Lozano_Marta.pdf?sequence=1&amp;isAllowed=y</b:URL>
    <b:RefOrder>2</b:RefOrder>
  </b:Source>
  <b:Source>
    <b:Tag>Pér20</b:Tag>
    <b:SourceType>JournalArticle</b:SourceType>
    <b:Guid>{BA5CB227-6957-498C-B643-8C60421599DB}</b:Guid>
    <b:Author>
      <b:Author>
        <b:NameList>
          <b:Person>
            <b:Last>Pérez</b:Last>
            <b:First>R.</b:First>
          </b:Person>
          <b:Person>
            <b:Last>Arcila</b:Last>
            <b:First>P.</b:First>
          </b:Person>
        </b:NameList>
      </b:Author>
    </b:Author>
    <b:Title>IMPLICACIONES DE LA TEORIA DE LA SUBJETIVIDAD EN EL PROCESO DE ENSEÑANZA-APRENDIZAJE ESCOLAR</b:Title>
    <b:Year>2020</b:Year>
    <b:RefOrder>4</b:RefOrder>
  </b:Source>
  <b:Source>
    <b:Tag>Bar12</b:Tag>
    <b:SourceType>JournalArticle</b:SourceType>
    <b:Guid>{7BB35526-8836-4D7A-A203-EF8395A01632}</b:Guid>
    <b:Title>Motivación escolar y rendimiento: impacto de metas académicas, de estrategias de aprendizaje y autoeficacia</b:Title>
    <b:Year>2012</b:Year>
    <b:Author>
      <b:Author>
        <b:NameList>
          <b:Person>
            <b:Last>Barca</b:Last>
            <b:First>Alfonso.</b:First>
          </b:Person>
          <b:Person>
            <b:Last>Almeida</b:Last>
            <b:First>Leandro</b:First>
          </b:Person>
          <b:Person>
            <b:Last>Porto</b:Last>
            <b:First>Ana</b:First>
          </b:Person>
          <b:Person>
            <b:Last>Peralbo</b:Last>
          </b:Person>
          <b:Person>
            <b:Last>Manuel</b:Last>
          </b:Person>
          <b:Person>
            <b:Last>Brenlla</b:Last>
            <b:First>Juan</b:First>
          </b:Person>
        </b:NameList>
      </b:Author>
    </b:Author>
    <b:JournalName>Anales de Psicología/Annals of Psychology</b:JournalName>
    <b:Pages>848-859</b:Pages>
    <b:Volume>28</b:Volume>
    <b:Issue>3</b:Issue>
    <b:URL>https://revistas.um.es/analesps/article/view/analesps.28.3.156101/150191</b:URL>
    <b:RefOrder>5</b:RefOrder>
  </b:Source>
  <b:Source>
    <b:Tag>Gon16</b:Tag>
    <b:SourceType>JournalArticle</b:SourceType>
    <b:Guid>{8FC677D0-7BC1-4A48-A73A-A2C6DE9E57D8}</b:Guid>
    <b:Author>
      <b:Author>
        <b:NameList>
          <b:Person>
            <b:Last>González</b:Last>
            <b:First>F.</b:First>
          </b:Person>
          <b:Person>
            <b:Last>Mitjans Martínez</b:Last>
            <b:First>A.</b:First>
          </b:Person>
          <b:Person>
            <b:Last>Bezerra</b:Last>
            <b:First>M.</b:First>
          </b:Person>
        </b:NameList>
      </b:Author>
    </b:Author>
    <b:Title>Psicología en la educación: Implicaciones de la subjetividad en una perspectiva Cultural-Histórica</b:Title>
    <b:JournalName>Revista puertorriqueña de Psicología</b:JournalName>
    <b:Year>2016</b:Year>
    <b:Pages>260-274</b:Pages>
    <b:Volume>27</b:Volume>
    <b:Issue>2</b:Issue>
    <b:RefOrder>9</b:RefOrder>
  </b:Source>
  <b:Source>
    <b:Tag>Rin03</b:Tag>
    <b:SourceType>JournalArticle</b:SourceType>
    <b:Guid>{F4053ACF-ADED-4920-8B40-083F7B13B9C0}</b:Guid>
    <b:Author>
      <b:Author>
        <b:NameList>
          <b:Person>
            <b:Last>Rinaudo</b:Last>
            <b:First>María</b:First>
          </b:Person>
          <b:Person>
            <b:Last>Chiecher</b:Last>
            <b:First>Analía</b:First>
          </b:Person>
          <b:Person>
            <b:Last>Donolo</b:Last>
            <b:First>Danilo</b:First>
          </b:Person>
        </b:NameList>
      </b:Author>
    </b:Author>
    <b:Title>Motivación y uso de estrategias en estudiantes universitarios.</b:Title>
    <b:JournalName>anales de psicología</b:JournalName>
    <b:Year>2003</b:Year>
    <b:Pages>107-119</b:Pages>
    <b:Volume>19</b:Volume>
    <b:Issue>1</b:Issue>
    <b:URL>https://revistas.um.es/analesps/article/view/27901/27031</b:URL>
    <b:RefOrder>14</b:RefOrder>
  </b:Source>
  <b:Source>
    <b:Tag>Pol20</b:Tag>
    <b:SourceType>JournalArticle</b:SourceType>
    <b:Guid>{36280E2A-2F6A-4FBD-AB72-B05BA73DCF46}</b:Guid>
    <b:Author>
      <b:Author>
        <b:NameList>
          <b:Person>
            <b:Last>Polo</b:Last>
            <b:First>F</b:First>
          </b:Person>
          <b:Person>
            <b:Last>Pingo</b:Last>
            <b:First>G</b:First>
          </b:Person>
        </b:NameList>
      </b:Author>
    </b:Author>
    <b:Title>MOTIVACIÓN Y DESEMPEÑO ACADÉMICO DE ESTUDIANTES DE ADMINISTRACIÓN</b:Title>
    <b:Year>2020</b:Year>
    <b:JournalName>YACHAQ</b:JournalName>
    <b:Pages>11-11</b:Pages>
    <b:Volume>2</b:Volume>
    <b:Issue>2</b:Issue>
    <b:RefOrder>15</b:RefOrder>
  </b:Source>
  <b:Source>
    <b:Tag>Dom17</b:Tag>
    <b:SourceType>JournalArticle</b:SourceType>
    <b:Guid>{9EFC5960-9825-4429-B9F2-92E761B29F71}</b:Guid>
    <b:Author>
      <b:Author>
        <b:NameList>
          <b:Person>
            <b:Last>Domínguez</b:Last>
            <b:First>R</b:First>
          </b:Person>
          <b:Person>
            <b:Last>García</b:Last>
            <b:First>D</b:First>
          </b:Person>
        </b:NameList>
      </b:Author>
    </b:Author>
    <b:Title>La familia como grupo psicosocial y su vÍnculo con la escuela</b:Title>
    <b:Year>2017</b:Year>
    <b:JournalName>Comité Editorial</b:JournalName>
    <b:Pages>354</b:Pages>
    <b:Volume>10</b:Volume>
    <b:Issue>1</b:Issue>
    <b:RefOrder>16</b:RefOrder>
  </b:Source>
  <b:Source>
    <b:Tag>Ren19</b:Tag>
    <b:SourceType>JournalArticle</b:SourceType>
    <b:Guid>{E6A8E476-14B9-46A2-BCC4-39E16BE33C72}</b:Guid>
    <b:Author>
      <b:Author>
        <b:NameList>
          <b:Person>
            <b:Last>Rendón</b:Last>
            <b:First>María</b:First>
          </b:Person>
          <b:Person>
            <b:Last>Coronel</b:Last>
            <b:First>María</b:First>
          </b:Person>
        </b:NameList>
      </b:Author>
    </b:Author>
    <b:Title>Tecnología y motivación para el desempeño académico de alumnos en educación básica</b:Title>
    <b:JournalName>Nuevos paradigmas en los procesos de enseñanza-aprendizaje</b:JournalName>
    <b:Year>2019</b:Year>
    <b:Pages>66-74</b:Pages>
    <b:URL>http://www.adayapress.com/wp-content/uploads/2019/05/Parad8.pdf</b:URL>
    <b:RefOrder>13</b:RefOrder>
  </b:Source>
  <b:Source>
    <b:Tag>Ort18</b:Tag>
    <b:SourceType>JournalArticle</b:SourceType>
    <b:Guid>{17B32EEA-7057-4502-8604-EC4AB117CFD0}</b:Guid>
    <b:Author>
      <b:Author>
        <b:NameList>
          <b:Person>
            <b:Last>Ortiz</b:Last>
            <b:First>Ana.</b:First>
            <b:Middle>M., Jordán, Juan</b:Middle>
          </b:Person>
          <b:Person>
            <b:Last>Agredal</b:Last>
            <b:First>Miriam</b:First>
          </b:Person>
        </b:NameList>
      </b:Author>
    </b:Author>
    <b:Title>Gamificación en educación: una panorámica sobre el estado de la cuestión</b:Title>
    <b:JournalName>Educação e Pesquisa</b:JournalName>
    <b:Year>2018</b:Year>
    <b:Pages>44</b:Pages>
    <b:RefOrder>10</b:RefOrder>
  </b:Source>
  <b:Source>
    <b:Tag>Osp06</b:Tag>
    <b:SourceType>JournalArticle</b:SourceType>
    <b:Guid>{CE0E905A-E1D5-49DE-B82A-820F3F7D0D7B}</b:Guid>
    <b:Author>
      <b:Author>
        <b:NameList>
          <b:Person>
            <b:Last>Ospina</b:Last>
            <b:First>Jackeline</b:First>
          </b:Person>
        </b:NameList>
      </b:Author>
    </b:Author>
    <b:Title>La motivación, motor del aprendizaje</b:Title>
    <b:JournalName>Rev. Cienc. Salud. Bogotá</b:JournalName>
    <b:Year>2006</b:Year>
    <b:Pages>158-160</b:Pages>
    <b:Volume>4</b:Volume>
    <b:RefOrder>11</b:RefOrder>
  </b:Source>
  <b:Source>
    <b:Tag>Usá18</b:Tag>
    <b:SourceType>JournalArticle</b:SourceType>
    <b:Guid>{FE8261E7-B29E-4D3D-91A1-7AE68F310B56}</b:Guid>
    <b:Author>
      <b:Author>
        <b:NameList>
          <b:Person>
            <b:Last>Usán</b:Last>
            <b:First>Pablo</b:First>
          </b:Person>
          <b:Person>
            <b:Last>Salavera</b:Last>
            <b:First>Carlos</b:First>
          </b:Person>
        </b:NameList>
      </b:Author>
    </b:Author>
    <b:Title>Motivación escolar, inteligencia emocional y rendimiento académico en estudiantes de educación secundaria obligatoria.</b:Title>
    <b:JournalName>Actualidades en Psicología</b:JournalName>
    <b:Year>2018</b:Year>
    <b:Pages>95-112</b:Pages>
    <b:Volume>32</b:Volume>
    <b:Issue>125</b:Issue>
    <b:RefOrder>1</b:RefOrder>
  </b:Source>
  <b:Source>
    <b:Tag>Ram19</b:Tag>
    <b:SourceType>JournalArticle</b:SourceType>
    <b:Guid>{423D58D1-5EB0-41BF-BC5B-FD7E43346E55}</b:Guid>
    <b:Author>
      <b:Author>
        <b:NameList>
          <b:Person>
            <b:Last>Ramos</b:Last>
            <b:First>R</b:First>
          </b:Person>
          <b:Person>
            <b:Last>Gómez</b:Last>
            <b:First>N</b:First>
          </b:Person>
        </b:NameList>
      </b:Author>
    </b:Author>
    <b:Title>La influencia del docente sobre la motivación, las estrategias de aprendizaje, pensamiento crítico de los estudiantes y rendimiento académico en el área de Educación Física</b:Title>
    <b:JournalName>Psychology, Society, &amp; Education</b:JournalName>
    <b:Year>2019</b:Year>
    <b:Pages>137</b:Pages>
    <b:Volume>11</b:Volume>
    <b:Issue>1</b:Issue>
    <b:RefOrder>6</b:RefOrder>
  </b:Source>
  <b:Source>
    <b:Tag>Riv13</b:Tag>
    <b:SourceType>Misc</b:SourceType>
    <b:Guid>{28FA985E-73C7-4855-B021-CA7C325FB3CE}</b:Guid>
    <b:Title>La motivación del alumno y su relación con el rendimiento académico en los estudiantes de Bachillerato Técnico en Salud Comunitaria del Instituto República Federal de México de Comayagüela</b:Title>
    <b:Year>2013</b:Year>
    <b:Author>
      <b:Author>
        <b:NameList>
          <b:Person>
            <b:Last>Rivera</b:Last>
            <b:First>Gloribel</b:First>
          </b:Person>
        </b:NameList>
      </b:Author>
    </b:Author>
    <b:CountryRegion>México</b:CountryRegion>
    <b:RefOrder>12</b:RefOrder>
  </b:Source>
  <b:Source>
    <b:Tag>Qui131</b:Tag>
    <b:SourceType>JournalArticle</b:SourceType>
    <b:Guid>{7345EAC9-AAF5-4D14-B0D5-6926212CB270}</b:Guid>
    <b:Title>El desempeño académico: una opción para la cualificación de las instituciones educativas</b:Title>
    <b:Year>2013</b:Year>
    <b:Author>
      <b:Author>
        <b:NameList>
          <b:Person>
            <b:Last>Quintero</b:Last>
            <b:First>María</b:First>
          </b:Person>
          <b:Person>
            <b:Last>Orozco</b:Last>
            <b:First>German</b:First>
          </b:Person>
        </b:NameList>
      </b:Author>
    </b:Author>
    <b:JournalName>Plumilla Educativa</b:JournalName>
    <b:Pages>93-115</b:Pages>
    <b:Volume>12</b:Volume>
    <b:Issue>2</b:Issue>
    <b:URL>https://dialnet.unirioja.es/servlet/articulo?codigo=4756664</b:URL>
    <b:RefOrder>17</b:RefOrder>
  </b:Source>
  <b:Source>
    <b:Tag>Sul97</b:Tag>
    <b:SourceType>Misc</b:SourceType>
    <b:Guid>{1B695BAF-2674-4141-8781-9C7718722BBF}</b:Guid>
    <b:Author>
      <b:Author>
        <b:NameList>
          <b:Person>
            <b:Last>Sulgey</b:Last>
            <b:First>D.</b:First>
            <b:Middle>S. J.</b:Middle>
          </b:Person>
        </b:NameList>
      </b:Author>
    </b:Author>
    <b:Title>Estudio de la posible relación entre autoestima, autodirección, motivación en el desempeño académico de alumnos de secundaria de una institución pública del municipio de Funza.</b:Title>
    <b:Year>1997</b:Year>
    <b:StateProvince>Cundinamarca, </b:StateProvince>
    <b:CountryRegion>Colombia</b:CountryRegion>
    <b:RefOrder>7</b:RefOrder>
  </b:Source>
  <b:Source>
    <b:Tag>Mar19</b:Tag>
    <b:SourceType>Misc</b:SourceType>
    <b:Guid>{CD2C94B0-69C2-496B-9BED-5EFF395E6CE7}</b:Guid>
    <b:Author>
      <b:Author>
        <b:NameList>
          <b:Person>
            <b:Last>Margarito</b:Last>
            <b:First>Guadalupe</b:First>
          </b:Person>
        </b:NameList>
      </b:Author>
    </b:Author>
    <b:Title>Motivación y éxito en el rendimiento académico de los estudiantes del instituto de educación superior pedagógico privado Juan Pablo II</b:Title>
    <b:Year>2019</b:Year>
    <b:City>Huaral</b:City>
    <b:RefOrder>8</b:RefOrder>
  </b:Source>
</b:Sources>
</file>

<file path=customXml/itemProps1.xml><?xml version="1.0" encoding="utf-8"?>
<ds:datastoreItem xmlns:ds="http://schemas.openxmlformats.org/officeDocument/2006/customXml" ds:itemID="{20C7D095-FF7C-42A9-877A-7337B3FD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LibreOffice/7.0.1.2$Windows_X86_64 LibreOffice_project/7cbcfc562f6eb6708b5ff7d7397325de9e764452</Application>
  <Pages>12</Pages>
  <Words>3910</Words>
  <Characters>21727</Characters>
  <CharactersWithSpaces>25622</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2020-11-10T14:36:00Z</dcterms:created>
  <dc:creator>HP</dc:creator>
  <dc:description/>
  <dc:language>es-CU</dc:language>
  <cp:lastModifiedBy/>
  <dcterms:modified xsi:type="dcterms:W3CDTF">2020-12-03T17:13:18Z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