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80" w:rsidRPr="007D5AC7" w:rsidRDefault="00A06F28" w:rsidP="00D82C9B">
      <w:pPr>
        <w:spacing w:before="240" w:after="240" w:line="360" w:lineRule="auto"/>
        <w:jc w:val="both"/>
        <w:rPr>
          <w:rFonts w:eastAsia="Calibri"/>
          <w:b/>
          <w:lang w:val="en-US" w:eastAsia="en-US"/>
        </w:rPr>
      </w:pPr>
      <w:r w:rsidRPr="00D40080">
        <w:rPr>
          <w:rFonts w:eastAsia="Calibri"/>
          <w:b/>
          <w:lang w:eastAsia="en-US"/>
        </w:rPr>
        <w:t>Caracterización clínico- epidemiológica del paciente con hematuria en el servic</w:t>
      </w:r>
      <w:r w:rsidR="005E1E9C">
        <w:rPr>
          <w:rFonts w:eastAsia="Calibri"/>
          <w:b/>
          <w:lang w:eastAsia="en-US"/>
        </w:rPr>
        <w:t xml:space="preserve">io de clínicas pediátricas. </w:t>
      </w:r>
      <w:r w:rsidR="00450001" w:rsidRPr="007D5AC7">
        <w:rPr>
          <w:rFonts w:eastAsia="Calibri"/>
          <w:b/>
          <w:lang w:val="en-US" w:eastAsia="en-US"/>
        </w:rPr>
        <w:t>20</w:t>
      </w:r>
      <w:r w:rsidR="00590D28" w:rsidRPr="007D5AC7">
        <w:rPr>
          <w:rFonts w:eastAsia="Calibri"/>
          <w:b/>
          <w:lang w:val="en-US" w:eastAsia="en-US"/>
        </w:rPr>
        <w:t>20</w:t>
      </w:r>
      <w:r w:rsidR="00852106" w:rsidRPr="007D5AC7">
        <w:rPr>
          <w:rFonts w:eastAsia="Calibri"/>
          <w:b/>
          <w:lang w:val="en-US" w:eastAsia="en-US"/>
        </w:rPr>
        <w:t>.</w:t>
      </w:r>
    </w:p>
    <w:p w:rsidR="003918F8" w:rsidRPr="001A6EF6" w:rsidRDefault="003918F8" w:rsidP="00D82C9B">
      <w:pPr>
        <w:spacing w:before="240" w:after="240" w:line="360" w:lineRule="auto"/>
        <w:jc w:val="both"/>
        <w:rPr>
          <w:rFonts w:eastAsia="Calibri"/>
          <w:b/>
          <w:lang w:val="en-US" w:eastAsia="en-US"/>
        </w:rPr>
      </w:pPr>
      <w:r w:rsidRPr="001A6EF6">
        <w:rPr>
          <w:rFonts w:eastAsia="Calibri"/>
          <w:b/>
          <w:lang w:val="en-US" w:eastAsia="en-US"/>
        </w:rPr>
        <w:t xml:space="preserve">Hematuria in pediatric patient: Clinical epidemiologic characterization in </w:t>
      </w:r>
      <w:r w:rsidR="00730A52" w:rsidRPr="001A6EF6">
        <w:rPr>
          <w:rFonts w:eastAsia="Calibri"/>
          <w:b/>
          <w:lang w:val="en-US" w:eastAsia="en-US"/>
        </w:rPr>
        <w:t>P</w:t>
      </w:r>
      <w:r w:rsidRPr="001A6EF6">
        <w:rPr>
          <w:rFonts w:eastAsia="Calibri"/>
          <w:b/>
          <w:lang w:val="en-US" w:eastAsia="en-US"/>
        </w:rPr>
        <w:t>ediatric</w:t>
      </w:r>
      <w:r w:rsidR="00730A52" w:rsidRPr="001A6EF6">
        <w:rPr>
          <w:rFonts w:eastAsia="Calibri"/>
          <w:b/>
          <w:lang w:val="en-US" w:eastAsia="en-US"/>
        </w:rPr>
        <w:t xml:space="preserve"> Medical W</w:t>
      </w:r>
      <w:r w:rsidRPr="001A6EF6">
        <w:rPr>
          <w:rFonts w:eastAsia="Calibri"/>
          <w:b/>
          <w:lang w:val="en-US" w:eastAsia="en-US"/>
        </w:rPr>
        <w:t>ard. 2020</w:t>
      </w:r>
      <w:r w:rsidR="00852106">
        <w:rPr>
          <w:rFonts w:eastAsia="Calibri"/>
          <w:b/>
          <w:lang w:val="en-US" w:eastAsia="en-US"/>
        </w:rPr>
        <w:t>.</w:t>
      </w:r>
    </w:p>
    <w:p w:rsidR="00730A52" w:rsidRPr="00D40080" w:rsidRDefault="00730A52" w:rsidP="00D82C9B">
      <w:pPr>
        <w:spacing w:before="240" w:after="240" w:line="360" w:lineRule="auto"/>
        <w:jc w:val="both"/>
        <w:rPr>
          <w:rFonts w:eastAsia="Calibri"/>
          <w:b/>
          <w:lang w:eastAsia="en-US"/>
        </w:rPr>
      </w:pPr>
      <w:r w:rsidRPr="00730A52">
        <w:rPr>
          <w:rFonts w:eastAsia="Calibri"/>
          <w:lang w:eastAsia="en-US"/>
        </w:rPr>
        <w:t>Caracterización de la hematuria en el paciente pediátrico</w:t>
      </w:r>
      <w:r w:rsidRPr="00730A52">
        <w:rPr>
          <w:rFonts w:eastAsia="Calibri"/>
          <w:b/>
          <w:lang w:eastAsia="en-US"/>
        </w:rPr>
        <w:t>.</w:t>
      </w:r>
    </w:p>
    <w:p w:rsidR="00F008AC" w:rsidRPr="00D82C9B" w:rsidRDefault="00D82C9B" w:rsidP="00D82C9B">
      <w:pPr>
        <w:spacing w:before="240" w:after="240" w:line="360" w:lineRule="auto"/>
        <w:jc w:val="both"/>
      </w:pPr>
      <w:proofErr w:type="spellStart"/>
      <w:r w:rsidRPr="00D82C9B">
        <w:t>Yusleidy</w:t>
      </w:r>
      <w:proofErr w:type="spellEnd"/>
      <w:r w:rsidRPr="00D82C9B">
        <w:t xml:space="preserve"> Yanet Sánchez Pérez</w:t>
      </w:r>
      <w:r w:rsidR="00F008AC" w:rsidRPr="00D82C9B">
        <w:t xml:space="preserve"> </w:t>
      </w:r>
      <w:r w:rsidRPr="00D82C9B">
        <w:rPr>
          <w:vertAlign w:val="superscript"/>
        </w:rPr>
        <w:t>(</w:t>
      </w:r>
      <w:r w:rsidR="00F008AC" w:rsidRPr="00D82C9B">
        <w:rPr>
          <w:vertAlign w:val="superscript"/>
        </w:rPr>
        <w:t>1</w:t>
      </w:r>
      <w:r w:rsidRPr="00D82C9B">
        <w:rPr>
          <w:vertAlign w:val="superscript"/>
        </w:rPr>
        <w:t>)</w:t>
      </w:r>
    </w:p>
    <w:p w:rsidR="00F008AC" w:rsidRPr="00D82C9B" w:rsidRDefault="00D82C9B" w:rsidP="00D82C9B">
      <w:pPr>
        <w:spacing w:before="240" w:after="240" w:line="360" w:lineRule="auto"/>
        <w:jc w:val="both"/>
      </w:pPr>
      <w:proofErr w:type="spellStart"/>
      <w:r w:rsidRPr="00D82C9B">
        <w:t>Yelenis</w:t>
      </w:r>
      <w:proofErr w:type="spellEnd"/>
      <w:r w:rsidRPr="00D82C9B">
        <w:t xml:space="preserve"> Elías Montes</w:t>
      </w:r>
      <w:r w:rsidR="00BD5A64" w:rsidRPr="00D82C9B">
        <w:rPr>
          <w:vertAlign w:val="superscript"/>
        </w:rPr>
        <w:t xml:space="preserve"> </w:t>
      </w:r>
      <w:r w:rsidRPr="00D82C9B">
        <w:rPr>
          <w:vertAlign w:val="superscript"/>
        </w:rPr>
        <w:t>(</w:t>
      </w:r>
      <w:r w:rsidR="00F008AC" w:rsidRPr="00D82C9B">
        <w:rPr>
          <w:vertAlign w:val="superscript"/>
        </w:rPr>
        <w:t>2</w:t>
      </w:r>
      <w:r w:rsidRPr="00D82C9B">
        <w:rPr>
          <w:vertAlign w:val="superscript"/>
        </w:rPr>
        <w:t>)</w:t>
      </w:r>
    </w:p>
    <w:p w:rsidR="00F008AC" w:rsidRPr="00D82C9B" w:rsidRDefault="00F008AC" w:rsidP="00D82C9B">
      <w:pPr>
        <w:spacing w:before="240" w:after="240" w:line="360" w:lineRule="auto"/>
        <w:jc w:val="both"/>
      </w:pPr>
      <w:proofErr w:type="spellStart"/>
      <w:r w:rsidRPr="00D82C9B">
        <w:t>Alitza</w:t>
      </w:r>
      <w:proofErr w:type="spellEnd"/>
      <w:r w:rsidRPr="00D82C9B">
        <w:t xml:space="preserve"> Tamayo </w:t>
      </w:r>
      <w:proofErr w:type="spellStart"/>
      <w:r w:rsidRPr="00D82C9B">
        <w:t>Cordoví</w:t>
      </w:r>
      <w:proofErr w:type="spellEnd"/>
      <w:proofErr w:type="gramStart"/>
      <w:r w:rsidRPr="00D82C9B">
        <w:t>.</w:t>
      </w:r>
      <w:r w:rsidR="00D82C9B" w:rsidRPr="00D82C9B">
        <w:rPr>
          <w:vertAlign w:val="superscript"/>
        </w:rPr>
        <w:t>(</w:t>
      </w:r>
      <w:proofErr w:type="gramEnd"/>
      <w:r w:rsidRPr="00D82C9B">
        <w:rPr>
          <w:vertAlign w:val="superscript"/>
        </w:rPr>
        <w:t>3</w:t>
      </w:r>
      <w:r w:rsidR="00D82C9B" w:rsidRPr="00D82C9B">
        <w:rPr>
          <w:vertAlign w:val="superscript"/>
        </w:rPr>
        <w:t>)</w:t>
      </w:r>
    </w:p>
    <w:p w:rsidR="00F008AC" w:rsidRPr="00D82C9B" w:rsidRDefault="00D82C9B" w:rsidP="00D82C9B">
      <w:pPr>
        <w:spacing w:before="240" w:after="240" w:line="360" w:lineRule="auto"/>
        <w:jc w:val="both"/>
        <w:rPr>
          <w:vertAlign w:val="superscript"/>
        </w:rPr>
      </w:pPr>
      <w:proofErr w:type="spellStart"/>
      <w:r w:rsidRPr="00D82C9B">
        <w:t>Glenis</w:t>
      </w:r>
      <w:proofErr w:type="spellEnd"/>
      <w:r w:rsidRPr="00D82C9B">
        <w:t xml:space="preserve"> Morales Torres </w:t>
      </w:r>
      <w:r w:rsidRPr="00D82C9B">
        <w:rPr>
          <w:vertAlign w:val="superscript"/>
        </w:rPr>
        <w:t>(</w:t>
      </w:r>
      <w:r w:rsidR="00F008AC" w:rsidRPr="00D82C9B">
        <w:rPr>
          <w:vertAlign w:val="superscript"/>
        </w:rPr>
        <w:t>4</w:t>
      </w:r>
      <w:r w:rsidRPr="00D82C9B">
        <w:rPr>
          <w:vertAlign w:val="superscript"/>
        </w:rPr>
        <w:t>)</w:t>
      </w:r>
    </w:p>
    <w:p w:rsidR="00D82C9B" w:rsidRPr="00D82C9B" w:rsidRDefault="00F008AC" w:rsidP="00D82C9B">
      <w:pPr>
        <w:pStyle w:val="Default"/>
        <w:spacing w:before="240" w:after="240" w:line="360" w:lineRule="auto"/>
        <w:jc w:val="both"/>
        <w:rPr>
          <w:rFonts w:ascii="Times New Roman" w:hAnsi="Times New Roman" w:cs="Times New Roman"/>
          <w:vertAlign w:val="superscript"/>
        </w:rPr>
      </w:pPr>
      <w:proofErr w:type="spellStart"/>
      <w:r w:rsidRPr="00D82C9B">
        <w:rPr>
          <w:rFonts w:ascii="Times New Roman" w:hAnsi="Times New Roman" w:cs="Times New Roman"/>
        </w:rPr>
        <w:t>Annia</w:t>
      </w:r>
      <w:proofErr w:type="spellEnd"/>
      <w:r w:rsidRPr="00D82C9B">
        <w:rPr>
          <w:rFonts w:ascii="Times New Roman" w:hAnsi="Times New Roman" w:cs="Times New Roman"/>
        </w:rPr>
        <w:t xml:space="preserve"> María Linares Rodríguez</w:t>
      </w:r>
      <w:r w:rsidR="00D82C9B" w:rsidRPr="00D82C9B">
        <w:rPr>
          <w:rFonts w:ascii="Times New Roman" w:hAnsi="Times New Roman" w:cs="Times New Roman"/>
        </w:rPr>
        <w:t xml:space="preserve"> </w:t>
      </w:r>
      <w:r w:rsidR="00D82C9B" w:rsidRPr="00D82C9B">
        <w:rPr>
          <w:rFonts w:ascii="Times New Roman" w:hAnsi="Times New Roman" w:cs="Times New Roman"/>
          <w:vertAlign w:val="superscript"/>
        </w:rPr>
        <w:t>(</w:t>
      </w:r>
      <w:r w:rsidRPr="00D82C9B">
        <w:rPr>
          <w:rFonts w:ascii="Times New Roman" w:hAnsi="Times New Roman" w:cs="Times New Roman"/>
          <w:vertAlign w:val="superscript"/>
        </w:rPr>
        <w:t>5</w:t>
      </w:r>
      <w:r w:rsidR="00D82C9B" w:rsidRPr="00D82C9B">
        <w:rPr>
          <w:rFonts w:ascii="Times New Roman" w:hAnsi="Times New Roman" w:cs="Times New Roman"/>
          <w:vertAlign w:val="superscript"/>
        </w:rPr>
        <w:t>)</w:t>
      </w:r>
    </w:p>
    <w:p w:rsidR="00D82C9B" w:rsidRPr="00852106" w:rsidRDefault="00D82C9B" w:rsidP="00D82C9B">
      <w:pPr>
        <w:pStyle w:val="Default"/>
        <w:spacing w:before="240" w:after="240" w:line="360" w:lineRule="auto"/>
        <w:jc w:val="both"/>
        <w:rPr>
          <w:rFonts w:ascii="Times New Roman" w:hAnsi="Times New Roman" w:cs="Times New Roman"/>
          <w:color w:val="auto"/>
        </w:rPr>
      </w:pPr>
      <w:r w:rsidRPr="00852106">
        <w:rPr>
          <w:rFonts w:ascii="Times New Roman" w:hAnsi="Times New Roman" w:cs="Times New Roman"/>
          <w:color w:val="auto"/>
        </w:rPr>
        <w:t>(1)</w:t>
      </w:r>
      <w:r w:rsidRPr="00852106">
        <w:rPr>
          <w:rFonts w:ascii="Times New Roman" w:hAnsi="Times New Roman" w:cs="Times New Roman"/>
          <w:b/>
          <w:color w:val="auto"/>
        </w:rPr>
        <w:t xml:space="preserve"> </w:t>
      </w:r>
      <w:r w:rsidR="00F008AC" w:rsidRPr="00852106">
        <w:rPr>
          <w:rFonts w:ascii="Times New Roman" w:hAnsi="Times New Roman" w:cs="Times New Roman"/>
          <w:color w:val="auto"/>
        </w:rPr>
        <w:t xml:space="preserve">Hospital Provincial Pediátrico Docente “General Milanés”. Bayamo. Granma, Cuba. </w:t>
      </w:r>
      <w:r w:rsidRPr="00852106">
        <w:rPr>
          <w:rFonts w:ascii="Times New Roman" w:hAnsi="Times New Roman" w:cs="Times New Roman"/>
          <w:color w:val="auto"/>
        </w:rPr>
        <w:t>e-</w:t>
      </w:r>
      <w:r w:rsidR="00F008AC" w:rsidRPr="00852106">
        <w:rPr>
          <w:rFonts w:ascii="Times New Roman" w:hAnsi="Times New Roman" w:cs="Times New Roman"/>
          <w:color w:val="auto"/>
        </w:rPr>
        <w:t xml:space="preserve">mail: </w:t>
      </w:r>
      <w:hyperlink r:id="rId7" w:history="1">
        <w:r w:rsidR="00F008AC" w:rsidRPr="00852106">
          <w:rPr>
            <w:rStyle w:val="Hipervnculo"/>
            <w:rFonts w:ascii="Times New Roman" w:hAnsi="Times New Roman" w:cs="Times New Roman"/>
            <w:color w:val="auto"/>
            <w:u w:val="none"/>
          </w:rPr>
          <w:t>yusleidyy@infomed.sld.cu</w:t>
        </w:r>
      </w:hyperlink>
      <w:r w:rsidR="00F008AC" w:rsidRPr="00852106">
        <w:rPr>
          <w:rFonts w:ascii="Times New Roman" w:hAnsi="Times New Roman" w:cs="Times New Roman"/>
          <w:color w:val="auto"/>
        </w:rPr>
        <w:t>.</w:t>
      </w:r>
    </w:p>
    <w:p w:rsidR="00D82C9B" w:rsidRPr="00852106" w:rsidRDefault="00F008AC" w:rsidP="00D82C9B">
      <w:pPr>
        <w:pStyle w:val="Default"/>
        <w:spacing w:before="240" w:after="240" w:line="360" w:lineRule="auto"/>
        <w:jc w:val="both"/>
        <w:rPr>
          <w:rFonts w:ascii="Times New Roman" w:hAnsi="Times New Roman" w:cs="Times New Roman"/>
          <w:b/>
          <w:color w:val="auto"/>
          <w:vertAlign w:val="superscript"/>
        </w:rPr>
      </w:pPr>
      <w:r w:rsidRPr="00852106">
        <w:rPr>
          <w:rFonts w:ascii="Times New Roman" w:hAnsi="Times New Roman" w:cs="Times New Roman"/>
          <w:color w:val="auto"/>
        </w:rPr>
        <w:t xml:space="preserve">ORCID: </w:t>
      </w:r>
      <w:hyperlink r:id="rId8" w:history="1">
        <w:r w:rsidRPr="00852106">
          <w:rPr>
            <w:rStyle w:val="Hipervnculo"/>
            <w:rFonts w:ascii="Times New Roman" w:hAnsi="Times New Roman" w:cs="Times New Roman"/>
            <w:color w:val="auto"/>
            <w:u w:val="none"/>
          </w:rPr>
          <w:t>https://orcid.org/0000-0002-3741-7374</w:t>
        </w:r>
      </w:hyperlink>
    </w:p>
    <w:p w:rsidR="00D82C9B" w:rsidRPr="00852106" w:rsidRDefault="00D82C9B" w:rsidP="00D82C9B">
      <w:pPr>
        <w:pStyle w:val="Default"/>
        <w:spacing w:before="240" w:after="240" w:line="360" w:lineRule="auto"/>
        <w:jc w:val="both"/>
        <w:rPr>
          <w:rFonts w:ascii="Times New Roman" w:hAnsi="Times New Roman" w:cs="Times New Roman"/>
          <w:b/>
          <w:color w:val="auto"/>
          <w:vertAlign w:val="superscript"/>
        </w:rPr>
      </w:pPr>
      <w:r w:rsidRPr="00852106">
        <w:rPr>
          <w:rFonts w:ascii="Times New Roman" w:hAnsi="Times New Roman" w:cs="Times New Roman"/>
          <w:color w:val="auto"/>
        </w:rPr>
        <w:t xml:space="preserve">(2) </w:t>
      </w:r>
      <w:r w:rsidR="00F008AC" w:rsidRPr="00852106">
        <w:rPr>
          <w:rFonts w:ascii="Times New Roman" w:hAnsi="Times New Roman" w:cs="Times New Roman"/>
          <w:color w:val="auto"/>
        </w:rPr>
        <w:t>Hospital Provincial Pediátrico Docente “General Milanés”. Bayamo. Granma, Cuba. e</w:t>
      </w:r>
      <w:r w:rsidRPr="00852106">
        <w:rPr>
          <w:rFonts w:ascii="Times New Roman" w:hAnsi="Times New Roman" w:cs="Times New Roman"/>
          <w:color w:val="auto"/>
        </w:rPr>
        <w:t>-</w:t>
      </w:r>
      <w:r w:rsidR="00F008AC" w:rsidRPr="00852106">
        <w:rPr>
          <w:rFonts w:ascii="Times New Roman" w:hAnsi="Times New Roman" w:cs="Times New Roman"/>
          <w:color w:val="auto"/>
        </w:rPr>
        <w:t xml:space="preserve">mail: </w:t>
      </w:r>
      <w:hyperlink r:id="rId9" w:history="1">
        <w:r w:rsidR="00F008AC" w:rsidRPr="00852106">
          <w:rPr>
            <w:rStyle w:val="Hipervnculo"/>
            <w:rFonts w:ascii="Times New Roman" w:hAnsi="Times New Roman" w:cs="Times New Roman"/>
            <w:color w:val="auto"/>
            <w:u w:val="none"/>
          </w:rPr>
          <w:t>yelenelias@infomed.sld.cu</w:t>
        </w:r>
      </w:hyperlink>
      <w:r w:rsidR="00F008AC" w:rsidRPr="00852106">
        <w:rPr>
          <w:rFonts w:ascii="Times New Roman" w:hAnsi="Times New Roman" w:cs="Times New Roman"/>
          <w:color w:val="auto"/>
        </w:rPr>
        <w:t>.</w:t>
      </w:r>
    </w:p>
    <w:p w:rsidR="00F008AC" w:rsidRPr="00852106" w:rsidRDefault="00F008AC" w:rsidP="00D82C9B">
      <w:pPr>
        <w:pStyle w:val="Default"/>
        <w:spacing w:before="240" w:after="240" w:line="360" w:lineRule="auto"/>
        <w:jc w:val="both"/>
        <w:rPr>
          <w:rFonts w:ascii="Times New Roman" w:hAnsi="Times New Roman" w:cs="Times New Roman"/>
          <w:color w:val="auto"/>
        </w:rPr>
      </w:pPr>
      <w:r w:rsidRPr="00852106">
        <w:rPr>
          <w:rFonts w:ascii="Times New Roman" w:hAnsi="Times New Roman" w:cs="Times New Roman"/>
          <w:color w:val="auto"/>
        </w:rPr>
        <w:t xml:space="preserve">ORCID: </w:t>
      </w:r>
      <w:hyperlink r:id="rId10" w:history="1">
        <w:r w:rsidRPr="00852106">
          <w:rPr>
            <w:rStyle w:val="Hipervnculo"/>
            <w:rFonts w:ascii="Times New Roman" w:hAnsi="Times New Roman" w:cs="Times New Roman"/>
            <w:color w:val="auto"/>
            <w:u w:val="none"/>
          </w:rPr>
          <w:t>https://orcid.org/0000-0002-5276-4956</w:t>
        </w:r>
      </w:hyperlink>
    </w:p>
    <w:p w:rsidR="00D82C9B" w:rsidRPr="00852106" w:rsidRDefault="00D82C9B" w:rsidP="00D82C9B">
      <w:pPr>
        <w:spacing w:before="240" w:after="240" w:line="360" w:lineRule="auto"/>
        <w:jc w:val="both"/>
        <w:rPr>
          <w:rFonts w:eastAsiaTheme="minorHAnsi"/>
          <w:lang w:eastAsia="en-US"/>
        </w:rPr>
      </w:pPr>
      <w:r w:rsidRPr="00852106">
        <w:rPr>
          <w:rFonts w:eastAsiaTheme="minorHAnsi"/>
          <w:lang w:eastAsia="en-US"/>
        </w:rPr>
        <w:t>(3)</w:t>
      </w:r>
      <w:r w:rsidRPr="00852106">
        <w:rPr>
          <w:rFonts w:eastAsiaTheme="minorHAnsi"/>
          <w:vertAlign w:val="superscript"/>
          <w:lang w:eastAsia="en-US"/>
        </w:rPr>
        <w:t xml:space="preserve"> </w:t>
      </w:r>
      <w:r w:rsidR="00F008AC" w:rsidRPr="00852106">
        <w:rPr>
          <w:rFonts w:eastAsiaTheme="minorHAnsi"/>
          <w:lang w:eastAsia="en-US"/>
        </w:rPr>
        <w:t>Hospital Provincial Pediátrico Docente “General Milanés”. Bayamo. Granma, Cuba. e</w:t>
      </w:r>
      <w:r w:rsidRPr="00852106">
        <w:rPr>
          <w:rFonts w:eastAsiaTheme="minorHAnsi"/>
          <w:lang w:eastAsia="en-US"/>
        </w:rPr>
        <w:t>-</w:t>
      </w:r>
      <w:r w:rsidR="00F008AC" w:rsidRPr="00852106">
        <w:rPr>
          <w:rFonts w:eastAsiaTheme="minorHAnsi"/>
          <w:lang w:eastAsia="en-US"/>
        </w:rPr>
        <w:t xml:space="preserve">mail: </w:t>
      </w:r>
      <w:hyperlink r:id="rId11" w:history="1">
        <w:r w:rsidR="00F008AC" w:rsidRPr="00852106">
          <w:rPr>
            <w:rStyle w:val="Hipervnculo"/>
            <w:rFonts w:eastAsiaTheme="minorHAnsi"/>
            <w:color w:val="auto"/>
            <w:u w:val="none"/>
            <w:lang w:eastAsia="en-US"/>
          </w:rPr>
          <w:t>alitc@infomed.sld.cu</w:t>
        </w:r>
      </w:hyperlink>
      <w:r w:rsidR="00F008AC" w:rsidRPr="00852106">
        <w:rPr>
          <w:rFonts w:eastAsiaTheme="minorHAnsi"/>
          <w:lang w:eastAsia="en-US"/>
        </w:rPr>
        <w:t>.</w:t>
      </w:r>
    </w:p>
    <w:p w:rsidR="00F008AC" w:rsidRPr="00852106" w:rsidRDefault="00F008AC" w:rsidP="00D82C9B">
      <w:pPr>
        <w:spacing w:before="240" w:after="240" w:line="360" w:lineRule="auto"/>
        <w:jc w:val="both"/>
        <w:rPr>
          <w:rFonts w:eastAsiaTheme="minorHAnsi"/>
          <w:lang w:eastAsia="en-US"/>
        </w:rPr>
      </w:pPr>
      <w:r w:rsidRPr="00852106">
        <w:rPr>
          <w:rFonts w:eastAsiaTheme="minorHAnsi"/>
          <w:lang w:eastAsia="en-US"/>
        </w:rPr>
        <w:t xml:space="preserve">ORCID: </w:t>
      </w:r>
      <w:hyperlink r:id="rId12" w:history="1">
        <w:r w:rsidRPr="00852106">
          <w:rPr>
            <w:rStyle w:val="Hipervnculo"/>
            <w:rFonts w:eastAsiaTheme="minorHAnsi"/>
            <w:color w:val="auto"/>
            <w:u w:val="none"/>
            <w:lang w:eastAsia="en-US"/>
          </w:rPr>
          <w:t>https://orcid.org/0000-0001-6760-9652</w:t>
        </w:r>
      </w:hyperlink>
    </w:p>
    <w:p w:rsidR="00D82C9B" w:rsidRPr="00852106" w:rsidRDefault="00D82C9B" w:rsidP="00D82C9B">
      <w:pPr>
        <w:autoSpaceDE w:val="0"/>
        <w:autoSpaceDN w:val="0"/>
        <w:adjustRightInd w:val="0"/>
        <w:spacing w:before="240" w:after="240" w:line="360" w:lineRule="auto"/>
        <w:jc w:val="both"/>
        <w:rPr>
          <w:rFonts w:eastAsiaTheme="minorHAnsi"/>
          <w:lang w:eastAsia="en-US"/>
        </w:rPr>
      </w:pPr>
      <w:r w:rsidRPr="00852106">
        <w:rPr>
          <w:rFonts w:eastAsiaTheme="minorHAnsi"/>
          <w:lang w:eastAsia="en-US"/>
        </w:rPr>
        <w:t xml:space="preserve">(4) </w:t>
      </w:r>
      <w:r w:rsidR="00F008AC" w:rsidRPr="00852106">
        <w:rPr>
          <w:rFonts w:eastAsiaTheme="minorHAnsi"/>
          <w:lang w:eastAsia="en-US"/>
        </w:rPr>
        <w:t>Hospital Provincial Pediátrico Docente “General Milanés”. Bayamo. Granma, Cub</w:t>
      </w:r>
      <w:r w:rsidRPr="00852106">
        <w:rPr>
          <w:rFonts w:eastAsiaTheme="minorHAnsi"/>
          <w:lang w:eastAsia="en-US"/>
        </w:rPr>
        <w:t xml:space="preserve">a. e-mail: </w:t>
      </w:r>
      <w:hyperlink r:id="rId13" w:history="1">
        <w:r w:rsidRPr="00852106">
          <w:rPr>
            <w:rStyle w:val="Hipervnculo"/>
            <w:rFonts w:eastAsiaTheme="minorHAnsi"/>
            <w:color w:val="auto"/>
            <w:u w:val="none"/>
            <w:lang w:eastAsia="en-US"/>
          </w:rPr>
          <w:t>alitc@infomed.sld.cu</w:t>
        </w:r>
      </w:hyperlink>
      <w:r w:rsidRPr="00852106">
        <w:rPr>
          <w:rFonts w:eastAsiaTheme="minorHAnsi"/>
          <w:lang w:eastAsia="en-US"/>
        </w:rPr>
        <w:t>.</w:t>
      </w:r>
    </w:p>
    <w:p w:rsidR="00F008AC" w:rsidRPr="00852106" w:rsidRDefault="00D82C9B" w:rsidP="00D82C9B">
      <w:pPr>
        <w:autoSpaceDE w:val="0"/>
        <w:autoSpaceDN w:val="0"/>
        <w:adjustRightInd w:val="0"/>
        <w:spacing w:before="240" w:after="240" w:line="360" w:lineRule="auto"/>
        <w:jc w:val="both"/>
      </w:pPr>
      <w:r w:rsidRPr="00852106">
        <w:rPr>
          <w:rFonts w:eastAsiaTheme="minorHAnsi"/>
          <w:lang w:eastAsia="en-US"/>
        </w:rPr>
        <w:t>O</w:t>
      </w:r>
      <w:r w:rsidR="00F008AC" w:rsidRPr="00852106">
        <w:rPr>
          <w:rFonts w:eastAsiaTheme="minorHAnsi"/>
          <w:lang w:eastAsia="en-US"/>
        </w:rPr>
        <w:t xml:space="preserve">RCID: </w:t>
      </w:r>
      <w:hyperlink r:id="rId14" w:history="1">
        <w:r w:rsidR="00F008AC" w:rsidRPr="00852106">
          <w:rPr>
            <w:rStyle w:val="Hipervnculo"/>
            <w:rFonts w:eastAsiaTheme="minorHAnsi"/>
            <w:color w:val="auto"/>
            <w:u w:val="none"/>
            <w:lang w:eastAsia="en-US"/>
          </w:rPr>
          <w:t>https://orcid.org/0000-0001-7366-210X</w:t>
        </w:r>
      </w:hyperlink>
    </w:p>
    <w:p w:rsidR="00F008AC" w:rsidRPr="00852106" w:rsidRDefault="00D82C9B" w:rsidP="00D82C9B">
      <w:pPr>
        <w:pStyle w:val="Default"/>
        <w:spacing w:before="240" w:after="240" w:line="360" w:lineRule="auto"/>
        <w:jc w:val="both"/>
        <w:rPr>
          <w:rFonts w:ascii="Times New Roman" w:hAnsi="Times New Roman" w:cs="Times New Roman"/>
          <w:color w:val="auto"/>
        </w:rPr>
      </w:pPr>
      <w:r w:rsidRPr="00852106">
        <w:rPr>
          <w:rFonts w:ascii="Times New Roman" w:hAnsi="Times New Roman" w:cs="Times New Roman"/>
          <w:color w:val="auto"/>
        </w:rPr>
        <w:t xml:space="preserve">(5) </w:t>
      </w:r>
      <w:r w:rsidR="00F008AC" w:rsidRPr="00852106">
        <w:rPr>
          <w:rFonts w:ascii="Times New Roman" w:hAnsi="Times New Roman" w:cs="Times New Roman"/>
          <w:color w:val="auto"/>
        </w:rPr>
        <w:t>Policlínico Docente 13 de Marzo. Bayamo. Granma, Cuba. e</w:t>
      </w:r>
      <w:r w:rsidRPr="00852106">
        <w:rPr>
          <w:rFonts w:ascii="Times New Roman" w:hAnsi="Times New Roman" w:cs="Times New Roman"/>
          <w:color w:val="auto"/>
        </w:rPr>
        <w:t>-</w:t>
      </w:r>
      <w:r w:rsidR="00F008AC" w:rsidRPr="00852106">
        <w:rPr>
          <w:rFonts w:ascii="Times New Roman" w:hAnsi="Times New Roman" w:cs="Times New Roman"/>
          <w:color w:val="auto"/>
        </w:rPr>
        <w:t xml:space="preserve">mail: </w:t>
      </w:r>
      <w:hyperlink r:id="rId15" w:history="1">
        <w:r w:rsidR="00F008AC" w:rsidRPr="00852106">
          <w:rPr>
            <w:rStyle w:val="Hipervnculo"/>
            <w:rFonts w:ascii="Times New Roman" w:hAnsi="Times New Roman" w:cs="Times New Roman"/>
            <w:color w:val="auto"/>
            <w:u w:val="none"/>
          </w:rPr>
          <w:t>anniamaria68@gmail.com</w:t>
        </w:r>
      </w:hyperlink>
    </w:p>
    <w:p w:rsidR="00F008AC" w:rsidRPr="00AD06BA" w:rsidRDefault="00F008AC" w:rsidP="00D82C9B">
      <w:pPr>
        <w:spacing w:before="240" w:after="240" w:line="360" w:lineRule="auto"/>
        <w:jc w:val="right"/>
      </w:pPr>
      <w:r w:rsidRPr="00E75FD0">
        <w:rPr>
          <w:b/>
        </w:rPr>
        <w:lastRenderedPageBreak/>
        <w:t>Contacto:</w:t>
      </w:r>
      <w:r w:rsidRPr="00AD06BA">
        <w:t xml:space="preserve"> yusleidyy@infomed.sld.cu</w:t>
      </w:r>
    </w:p>
    <w:p w:rsidR="00772FCE" w:rsidRPr="00D40080" w:rsidRDefault="00E75FD0" w:rsidP="00D82C9B">
      <w:pPr>
        <w:spacing w:before="240" w:after="240" w:line="360" w:lineRule="auto"/>
        <w:jc w:val="both"/>
        <w:rPr>
          <w:rFonts w:eastAsia="Calibri"/>
          <w:b/>
          <w:lang w:eastAsia="en-US"/>
        </w:rPr>
      </w:pPr>
      <w:r w:rsidRPr="00D40080">
        <w:rPr>
          <w:rFonts w:eastAsia="Calibri"/>
          <w:b/>
          <w:lang w:eastAsia="en-US"/>
        </w:rPr>
        <w:t>Resumen</w:t>
      </w:r>
    </w:p>
    <w:p w:rsidR="004A0633" w:rsidRPr="00D40080" w:rsidRDefault="00576AE6" w:rsidP="00D82C9B">
      <w:pPr>
        <w:spacing w:before="240" w:after="240" w:line="360" w:lineRule="auto"/>
        <w:jc w:val="both"/>
      </w:pPr>
      <w:r w:rsidRPr="00D40080">
        <w:rPr>
          <w:rFonts w:eastAsia="Calibri"/>
          <w:lang w:eastAsia="en-US"/>
        </w:rPr>
        <w:t>La hematuria es un sign</w:t>
      </w:r>
      <w:r w:rsidR="003B4618">
        <w:rPr>
          <w:rFonts w:eastAsia="Calibri"/>
          <w:lang w:eastAsia="en-US"/>
        </w:rPr>
        <w:t>o frecuente en pediatría y</w:t>
      </w:r>
      <w:r w:rsidRPr="00D40080">
        <w:rPr>
          <w:rFonts w:eastAsia="Calibri"/>
          <w:lang w:eastAsia="en-US"/>
        </w:rPr>
        <w:t xml:space="preserve"> un reto diagnóstico en muchos casos. </w:t>
      </w:r>
      <w:r w:rsidR="00E75FD0" w:rsidRPr="00E75FD0">
        <w:rPr>
          <w:bCs/>
        </w:rPr>
        <w:t>El objetivo del estudio fue</w:t>
      </w:r>
      <w:r w:rsidRPr="00E75FD0">
        <w:rPr>
          <w:bCs/>
        </w:rPr>
        <w:t xml:space="preserve"> </w:t>
      </w:r>
      <w:r w:rsidR="00E75FD0" w:rsidRPr="00E75FD0">
        <w:t>c</w:t>
      </w:r>
      <w:r w:rsidRPr="00E75FD0">
        <w:t>aracterizar la</w:t>
      </w:r>
      <w:r w:rsidRPr="00D40080">
        <w:t xml:space="preserve"> hematuria en pacientes ingresados en el Hospital Provincial Pediátrico Docente ¨General Milanés ¨ durante el año 2020.</w:t>
      </w:r>
      <w:r w:rsidR="00BD5A64">
        <w:t xml:space="preserve"> </w:t>
      </w:r>
      <w:r w:rsidR="003B4618">
        <w:t>Se realizó un estudio</w:t>
      </w:r>
      <w:r w:rsidRPr="00D40080">
        <w:t xml:space="preserve">, descriptivo, </w:t>
      </w:r>
      <w:r w:rsidR="00284E2C">
        <w:t>en niños ingresados con Hematuria</w:t>
      </w:r>
      <w:r w:rsidRPr="00D40080">
        <w:t xml:space="preserve"> en el Hospital Provincial Pediátrico Docente ¨General Milanés¨, </w:t>
      </w:r>
      <w:r w:rsidR="00284E2C">
        <w:t>desde</w:t>
      </w:r>
      <w:r w:rsidR="00284E2C" w:rsidRPr="00D40080">
        <w:t xml:space="preserve"> enero – diciembre de 2020</w:t>
      </w:r>
      <w:r w:rsidR="00284E2C">
        <w:t>. El universo estuvo constituido por</w:t>
      </w:r>
      <w:r w:rsidRPr="00D40080">
        <w:t xml:space="preserve">  86 pacientes, ingresados con hematuria macroscópica en el s</w:t>
      </w:r>
      <w:r w:rsidR="00284E2C">
        <w:t>ervicio de clínicas pediátricas</w:t>
      </w:r>
      <w:r w:rsidRPr="00D40080">
        <w:t xml:space="preserve">. </w:t>
      </w:r>
      <w:r w:rsidR="00BD5A64">
        <w:t>Se</w:t>
      </w:r>
      <w:r w:rsidRPr="00D40080">
        <w:t xml:space="preserve"> </w:t>
      </w:r>
      <w:r w:rsidR="002E485B">
        <w:t>estudiaron</w:t>
      </w:r>
      <w:r w:rsidRPr="00D40080">
        <w:t xml:space="preserve"> las siguientes variables: edad, sexo, tipos de hematuria, síntomas y signos acompañantes, antecedentes familiares y personales y el diagnóstico definitivo al egreso</w:t>
      </w:r>
      <w:r w:rsidRPr="00E75FD0">
        <w:t xml:space="preserve">. </w:t>
      </w:r>
      <w:r w:rsidR="00E75FD0" w:rsidRPr="00E75FD0">
        <w:rPr>
          <w:bCs/>
        </w:rPr>
        <w:t>Los principales resultados</w:t>
      </w:r>
      <w:r w:rsidR="00E75FD0">
        <w:rPr>
          <w:b/>
          <w:bCs/>
        </w:rPr>
        <w:t xml:space="preserve"> </w:t>
      </w:r>
      <w:r w:rsidRPr="00D40080">
        <w:rPr>
          <w:b/>
          <w:bCs/>
        </w:rPr>
        <w:t xml:space="preserve"> </w:t>
      </w:r>
      <w:r w:rsidR="00E75FD0">
        <w:rPr>
          <w:rFonts w:eastAsiaTheme="minorHAnsi"/>
          <w:lang w:eastAsia="en-US"/>
        </w:rPr>
        <w:t xml:space="preserve">destacan que </w:t>
      </w:r>
      <w:r w:rsidR="00D37CA0">
        <w:rPr>
          <w:rFonts w:eastAsiaTheme="minorHAnsi"/>
          <w:lang w:eastAsia="en-US"/>
        </w:rPr>
        <w:t xml:space="preserve">el grupo de edad entre </w:t>
      </w:r>
      <w:r w:rsidRPr="00D40080">
        <w:rPr>
          <w:rFonts w:eastAsiaTheme="minorHAnsi"/>
          <w:lang w:eastAsia="en-US"/>
        </w:rPr>
        <w:t xml:space="preserve">5 y 9 años </w:t>
      </w:r>
      <w:r w:rsidR="00D37CA0">
        <w:rPr>
          <w:rFonts w:eastAsiaTheme="minorHAnsi"/>
          <w:lang w:eastAsia="en-US"/>
        </w:rPr>
        <w:t>(</w:t>
      </w:r>
      <w:r w:rsidRPr="00D40080">
        <w:rPr>
          <w:rFonts w:eastAsiaTheme="minorHAnsi"/>
          <w:lang w:eastAsia="en-US"/>
        </w:rPr>
        <w:t>46.02%</w:t>
      </w:r>
      <w:r w:rsidR="00D37CA0">
        <w:rPr>
          <w:rFonts w:eastAsiaTheme="minorHAnsi"/>
          <w:lang w:eastAsia="en-US"/>
        </w:rPr>
        <w:t>) y el sexo masculino con (</w:t>
      </w:r>
      <w:r w:rsidRPr="00D40080">
        <w:rPr>
          <w:rFonts w:eastAsiaTheme="minorHAnsi"/>
          <w:lang w:eastAsia="en-US"/>
        </w:rPr>
        <w:t>79.06 %</w:t>
      </w:r>
      <w:r w:rsidR="00D37CA0">
        <w:rPr>
          <w:rFonts w:eastAsiaTheme="minorHAnsi"/>
          <w:lang w:eastAsia="en-US"/>
        </w:rPr>
        <w:t>)</w:t>
      </w:r>
      <w:r w:rsidRPr="00D40080">
        <w:rPr>
          <w:rFonts w:eastAsiaTheme="minorHAnsi"/>
          <w:lang w:eastAsia="en-US"/>
        </w:rPr>
        <w:t xml:space="preserve">. </w:t>
      </w:r>
      <w:r w:rsidR="00D37CA0">
        <w:rPr>
          <w:rFonts w:eastAsiaTheme="minorHAnsi"/>
          <w:lang w:eastAsia="en-US"/>
        </w:rPr>
        <w:t>L</w:t>
      </w:r>
      <w:r w:rsidRPr="00D40080">
        <w:t xml:space="preserve">a disuria predomino en </w:t>
      </w:r>
      <w:r w:rsidR="00D37CA0">
        <w:t>45 pacientes (</w:t>
      </w:r>
      <w:r w:rsidRPr="00D40080">
        <w:t>52.32%</w:t>
      </w:r>
      <w:r w:rsidR="00D37CA0">
        <w:t>)</w:t>
      </w:r>
      <w:r w:rsidR="000865A5">
        <w:t xml:space="preserve"> y</w:t>
      </w:r>
      <w:r w:rsidRPr="00D40080">
        <w:t xml:space="preserve"> los antecedentes patológicos personales, predominaron los niños sin antecedentes para un 59.30%.  En los antecedentes patológicos familiares, la hipertensión arterial predominó en el 54.55% de los niños</w:t>
      </w:r>
      <w:r w:rsidR="000865A5">
        <w:t xml:space="preserve"> y </w:t>
      </w:r>
      <w:r w:rsidRPr="00D40080">
        <w:t xml:space="preserve">el 47.68% presentaron Hematuria no glomerular inespecífica, 41 pacientes. </w:t>
      </w:r>
      <w:r w:rsidR="00E75FD0" w:rsidRPr="00E75FD0">
        <w:rPr>
          <w:bCs/>
        </w:rPr>
        <w:t>Se concluye</w:t>
      </w:r>
      <w:r w:rsidR="00E75FD0">
        <w:rPr>
          <w:b/>
          <w:bCs/>
        </w:rPr>
        <w:t xml:space="preserve"> </w:t>
      </w:r>
      <w:r w:rsidRPr="00D40080">
        <w:rPr>
          <w:b/>
          <w:bCs/>
        </w:rPr>
        <w:t xml:space="preserve"> </w:t>
      </w:r>
      <w:r w:rsidR="004A0633" w:rsidRPr="00D40080">
        <w:rPr>
          <w:color w:val="373435"/>
        </w:rPr>
        <w:t xml:space="preserve">que la hematuria </w:t>
      </w:r>
      <w:r w:rsidR="004A0633">
        <w:rPr>
          <w:color w:val="373435"/>
        </w:rPr>
        <w:t xml:space="preserve">predominó </w:t>
      </w:r>
      <w:r w:rsidR="004A0633" w:rsidRPr="00D40080">
        <w:rPr>
          <w:color w:val="373435"/>
        </w:rPr>
        <w:t xml:space="preserve">en el grupo etario de 5 a 9 años y el sexo masculino. La disuria </w:t>
      </w:r>
      <w:r w:rsidR="004A0633">
        <w:rPr>
          <w:color w:val="373435"/>
        </w:rPr>
        <w:t>fue el síntoma más frecuente</w:t>
      </w:r>
      <w:r w:rsidR="004A0633" w:rsidRPr="00D40080">
        <w:rPr>
          <w:color w:val="373435"/>
        </w:rPr>
        <w:t xml:space="preserve"> </w:t>
      </w:r>
      <w:r w:rsidR="004A0633">
        <w:rPr>
          <w:color w:val="373435"/>
        </w:rPr>
        <w:t xml:space="preserve">así como </w:t>
      </w:r>
      <w:r w:rsidR="004A0633" w:rsidRPr="00D40080">
        <w:rPr>
          <w:color w:val="373435"/>
        </w:rPr>
        <w:t>los niños sin antecedentes patológicos personales</w:t>
      </w:r>
      <w:r w:rsidR="004A0633">
        <w:rPr>
          <w:color w:val="373435"/>
        </w:rPr>
        <w:t>,</w:t>
      </w:r>
      <w:r w:rsidR="004A0633" w:rsidRPr="00D40080">
        <w:rPr>
          <w:color w:val="373435"/>
        </w:rPr>
        <w:t xml:space="preserve"> la hipertensión arterial constituyó el antecedente patológico familiar que predominó en la serie y el diagnóstico definitivo al egreso </w:t>
      </w:r>
      <w:r w:rsidR="004A0633">
        <w:rPr>
          <w:color w:val="373435"/>
        </w:rPr>
        <w:t xml:space="preserve">que más se presentó </w:t>
      </w:r>
      <w:r w:rsidR="004A0633" w:rsidRPr="00D40080">
        <w:rPr>
          <w:color w:val="373435"/>
        </w:rPr>
        <w:t>fue la hematuria no glomerular.</w:t>
      </w:r>
    </w:p>
    <w:p w:rsidR="00772FCE" w:rsidRPr="00564711" w:rsidRDefault="00772FCE" w:rsidP="00D82C9B">
      <w:pPr>
        <w:spacing w:before="240" w:after="240" w:line="360" w:lineRule="auto"/>
        <w:jc w:val="both"/>
        <w:rPr>
          <w:rFonts w:eastAsia="Calibri"/>
          <w:lang w:eastAsia="en-US"/>
        </w:rPr>
      </w:pPr>
      <w:r w:rsidRPr="00564711">
        <w:rPr>
          <w:rFonts w:eastAsia="Calibri"/>
          <w:lang w:eastAsia="en-US"/>
        </w:rPr>
        <w:t>Palabras claves:</w:t>
      </w:r>
      <w:r w:rsidR="00576AE6" w:rsidRPr="00564711">
        <w:rPr>
          <w:rFonts w:eastAsia="Calibri"/>
          <w:lang w:eastAsia="en-US"/>
        </w:rPr>
        <w:t xml:space="preserve"> hematuria, características, diagnóstico.</w:t>
      </w:r>
    </w:p>
    <w:p w:rsidR="00564711" w:rsidRDefault="00564711" w:rsidP="00D82C9B">
      <w:pPr>
        <w:spacing w:before="240" w:after="240" w:line="360" w:lineRule="auto"/>
        <w:rPr>
          <w:b/>
          <w:lang w:val="en-US"/>
        </w:rPr>
      </w:pPr>
      <w:proofErr w:type="spellStart"/>
      <w:r w:rsidRPr="00AD06BA">
        <w:rPr>
          <w:b/>
          <w:lang w:val="en-US"/>
        </w:rPr>
        <w:t>Abstrac</w:t>
      </w:r>
      <w:proofErr w:type="spellEnd"/>
    </w:p>
    <w:p w:rsidR="00E75FD0" w:rsidRPr="00EE71D9" w:rsidRDefault="00E75FD0" w:rsidP="00D82C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bCs/>
          <w:lang w:val="en-US"/>
        </w:rPr>
      </w:pPr>
      <w:r w:rsidRPr="00EE71D9">
        <w:rPr>
          <w:bCs/>
          <w:lang w:val="en-US"/>
        </w:rPr>
        <w:t xml:space="preserve">Hematuria is a frequent sign in pediatrics and a diagnostic challenge in many cases. The objective of the study was to characterize hematuria in patients admitted to the ¨General Milanés ¨ Provincial Pediatric Teaching Hospital during the year 2020. A descriptive study was carried out in children admitted with Hematuria to the ¨General Milanés¨ Provincial Pediatric Teaching Hospital, from January - December 2020. The universe consisted of 86 patients, admitted with gross hematuria in the pediatric clinic service. The following variables were studied: age, sex, types of hematuria, accompanying symptoms and signs, family and personal history, and the definitive diagnosis at discharge. The main results highlight that the age group between 5 and 9 years (46.02%) and the male sex with (79.06%). Dysuria predominated in 45 patients (52.32%) and personal pathological antecedents, children without antecedents predominated for 59.30%. In the family pathological </w:t>
      </w:r>
      <w:r w:rsidRPr="00EE71D9">
        <w:rPr>
          <w:bCs/>
          <w:lang w:val="en-US"/>
        </w:rPr>
        <w:lastRenderedPageBreak/>
        <w:t>history, arterial hypertension predominated in 54.55% of the children and 47.68% had nonspecific non-glomerular hematuria, 41 patients. It is concluded that hematuria predominated in the age group of 5 to 9 years and the male sex. Dysuria was the most frequent symptom, as were children without a personal pathological history, arterial hypertension constituted the family pathological antecedent that predominated in the series and the definitive diagnosis at discharge that most presented was non-glomerular hematuria.</w:t>
      </w:r>
    </w:p>
    <w:p w:rsidR="008B17CF" w:rsidRPr="00E47E6D" w:rsidRDefault="004E3097" w:rsidP="00D82C9B">
      <w:pPr>
        <w:spacing w:before="240" w:after="240" w:line="360" w:lineRule="auto"/>
        <w:jc w:val="both"/>
        <w:rPr>
          <w:bCs/>
        </w:rPr>
      </w:pPr>
      <w:proofErr w:type="spellStart"/>
      <w:r w:rsidRPr="00E75FD0">
        <w:rPr>
          <w:b/>
          <w:bCs/>
        </w:rPr>
        <w:t>Keywords</w:t>
      </w:r>
      <w:proofErr w:type="spellEnd"/>
      <w:r w:rsidRPr="00E75FD0">
        <w:rPr>
          <w:b/>
        </w:rPr>
        <w:t>:</w:t>
      </w:r>
      <w:r w:rsidR="008B17CF" w:rsidRPr="00E47E6D">
        <w:rPr>
          <w:bCs/>
        </w:rPr>
        <w:t xml:space="preserve"> </w:t>
      </w:r>
      <w:r w:rsidRPr="00E47E6D">
        <w:rPr>
          <w:bCs/>
        </w:rPr>
        <w:t xml:space="preserve">Hematuria, </w:t>
      </w:r>
      <w:proofErr w:type="spellStart"/>
      <w:r w:rsidRPr="00E47E6D">
        <w:rPr>
          <w:bCs/>
        </w:rPr>
        <w:t>characteristics</w:t>
      </w:r>
      <w:proofErr w:type="spellEnd"/>
      <w:r w:rsidRPr="00E47E6D">
        <w:rPr>
          <w:bCs/>
        </w:rPr>
        <w:t>, diagnosis.</w:t>
      </w:r>
    </w:p>
    <w:p w:rsidR="007A0543" w:rsidRPr="00E47E6D" w:rsidRDefault="00E75FD0" w:rsidP="00D82C9B">
      <w:pPr>
        <w:spacing w:before="240" w:after="240" w:line="360" w:lineRule="auto"/>
        <w:jc w:val="both"/>
        <w:rPr>
          <w:bCs/>
        </w:rPr>
      </w:pPr>
      <w:r w:rsidRPr="00D40080">
        <w:rPr>
          <w:rFonts w:eastAsia="Calibri"/>
          <w:b/>
          <w:lang w:eastAsia="en-US"/>
        </w:rPr>
        <w:t>Introducción</w:t>
      </w:r>
    </w:p>
    <w:p w:rsidR="00BD6004" w:rsidRPr="00E75FD0" w:rsidRDefault="00AA007A" w:rsidP="00D82C9B">
      <w:pPr>
        <w:spacing w:before="240" w:after="240" w:line="360" w:lineRule="auto"/>
        <w:jc w:val="both"/>
        <w:rPr>
          <w:rFonts w:eastAsia="Calibri"/>
          <w:vertAlign w:val="superscript"/>
          <w:lang w:eastAsia="en-US"/>
        </w:rPr>
      </w:pPr>
      <w:r w:rsidRPr="00D40080">
        <w:rPr>
          <w:rFonts w:eastAsia="Calibri"/>
          <w:lang w:eastAsia="en-US"/>
        </w:rPr>
        <w:t xml:space="preserve">La hematuria es un signo frecuente en pediatría, siendo un reto diagnóstico en muchos casos. A pesar de la existencia de múltiples protocolos para su diagnóstico diferencial, existen casos en los que es difícil o imposible filiar la causa. Por ello es preciso ser exhaustivo en la búsqueda de la etiología </w:t>
      </w:r>
      <w:r w:rsidR="00876426">
        <w:rPr>
          <w:rFonts w:eastAsia="Calibri"/>
          <w:lang w:eastAsia="en-US"/>
        </w:rPr>
        <w:t>(</w:t>
      </w:r>
      <w:proofErr w:type="spellStart"/>
      <w:r w:rsidR="00876426" w:rsidRPr="00D40080">
        <w:t>Gander</w:t>
      </w:r>
      <w:proofErr w:type="spellEnd"/>
      <w:r w:rsidR="00876426">
        <w:t xml:space="preserve"> et al. 2014)</w:t>
      </w:r>
      <w:r w:rsidR="00E75FD0">
        <w:t>.</w:t>
      </w:r>
      <w:r w:rsidR="004F5BD5" w:rsidRPr="00D40080">
        <w:rPr>
          <w:rFonts w:eastAsia="Calibri"/>
          <w:lang w:eastAsia="en-US"/>
        </w:rPr>
        <w:tab/>
      </w:r>
    </w:p>
    <w:p w:rsidR="007658F0" w:rsidRDefault="00AA007A" w:rsidP="00D82C9B">
      <w:pPr>
        <w:spacing w:before="240" w:after="240" w:line="360" w:lineRule="auto"/>
        <w:jc w:val="both"/>
        <w:rPr>
          <w:vertAlign w:val="superscript"/>
        </w:rPr>
      </w:pPr>
      <w:r w:rsidRPr="00D40080">
        <w:t xml:space="preserve">La detección por parte de la familia de sangre en la orina (macroscópica) es motivo de inquietud, angustia  y gran ansiedad que conlleva consulta inmediata y en diversas ocasiones  acudir al servicio de urgencias </w:t>
      </w:r>
      <w:r w:rsidR="00876426">
        <w:t>(</w:t>
      </w:r>
      <w:r w:rsidR="00876426" w:rsidRPr="0009436C">
        <w:rPr>
          <w:rFonts w:eastAsia="Calibri"/>
        </w:rPr>
        <w:t>Preciado, Cáceres, Beltrán &amp; Ortiz, 2015; Chacón Hernández &amp;  Delgado Arguedas, 2015)</w:t>
      </w:r>
      <w:r w:rsidR="00E75FD0">
        <w:rPr>
          <w:rFonts w:eastAsia="Calibri"/>
        </w:rPr>
        <w:t>.</w:t>
      </w:r>
    </w:p>
    <w:p w:rsidR="00AA007A" w:rsidRPr="007658F0" w:rsidRDefault="00AA007A" w:rsidP="00D82C9B">
      <w:pPr>
        <w:spacing w:before="240" w:after="240" w:line="360" w:lineRule="auto"/>
        <w:jc w:val="both"/>
        <w:rPr>
          <w:vertAlign w:val="superscript"/>
        </w:rPr>
      </w:pPr>
      <w:r w:rsidRPr="00D40080">
        <w:t xml:space="preserve">La clave del manejo en urgencias radica en diferenciar la hematuria glomerular de la no glomerular y determinar la etiología, pronóstico y posibilidades terapéuticas. Esto exige al pediatra a realizar una correcta valoración inicial, diferenciando aquellas situaciones que por su carácter benigno no precisan de exploraciones agresivas, de otras que exigirán un estudio más completo y su derivación al nefrólogo pediatra. </w:t>
      </w:r>
    </w:p>
    <w:p w:rsidR="00BD6004" w:rsidRPr="00D40080" w:rsidRDefault="00AA007A" w:rsidP="00D82C9B">
      <w:pPr>
        <w:spacing w:before="240" w:after="240" w:line="360" w:lineRule="auto"/>
        <w:jc w:val="both"/>
        <w:rPr>
          <w:vertAlign w:val="superscript"/>
        </w:rPr>
      </w:pPr>
      <w:r w:rsidRPr="00D40080">
        <w:t xml:space="preserve">La hematuria indica enfermedad, lesión o malformación del tracto urinario. Es el hallazgo clínico más frecuente dentro de la patología genitourinaria después de la infección </w:t>
      </w:r>
      <w:r w:rsidR="007658F0">
        <w:t>(</w:t>
      </w:r>
      <w:r w:rsidR="007658F0" w:rsidRPr="0009436C">
        <w:rPr>
          <w:rFonts w:eastAsia="Calibri"/>
        </w:rPr>
        <w:t>Preciado, Cáceres, Beltrán &amp; Ortiz, 2015</w:t>
      </w:r>
      <w:r w:rsidR="007658F0">
        <w:rPr>
          <w:rFonts w:eastAsia="Calibri"/>
        </w:rPr>
        <w:t>)</w:t>
      </w:r>
      <w:r w:rsidR="006E6C92" w:rsidRPr="00D40080">
        <w:rPr>
          <w:vertAlign w:val="superscript"/>
        </w:rPr>
        <w:t xml:space="preserve"> </w:t>
      </w:r>
    </w:p>
    <w:p w:rsidR="00BD6004" w:rsidRPr="00D40080" w:rsidRDefault="00AA007A" w:rsidP="00D82C9B">
      <w:pPr>
        <w:spacing w:before="240" w:after="240" w:line="360" w:lineRule="auto"/>
        <w:jc w:val="both"/>
        <w:rPr>
          <w:vertAlign w:val="superscript"/>
        </w:rPr>
      </w:pPr>
      <w:r w:rsidRPr="00D40080">
        <w:t xml:space="preserve">Es la anomalía urinaria más común, ya que la gran mayoría de las enfermedades que afectan al aparato urinario cursarán en algún momento de su evolución con hematuria. Puede presentarse de forma muy variable, desde la presencia alarmante de hematuria macroscópica asociada a diversos síntomas hasta una micro hematuria asintomática descubierta como un hallazgo casual </w:t>
      </w:r>
      <w:proofErr w:type="gramStart"/>
      <w:r w:rsidR="004E5C62">
        <w:t>(</w:t>
      </w:r>
      <w:r w:rsidR="00DF1ED3">
        <w:t xml:space="preserve"> </w:t>
      </w:r>
      <w:r w:rsidR="004E5C62" w:rsidRPr="00D40080">
        <w:rPr>
          <w:rFonts w:eastAsia="Calibri"/>
        </w:rPr>
        <w:t>de</w:t>
      </w:r>
      <w:proofErr w:type="gramEnd"/>
      <w:r w:rsidR="004E5C62" w:rsidRPr="00D40080">
        <w:rPr>
          <w:rFonts w:eastAsia="Calibri"/>
        </w:rPr>
        <w:t xml:space="preserve"> la Rosa Brito, Guzmán </w:t>
      </w:r>
      <w:r w:rsidR="00DF1ED3" w:rsidRPr="0009436C">
        <w:rPr>
          <w:rFonts w:eastAsia="Calibri"/>
        </w:rPr>
        <w:t>&amp;</w:t>
      </w:r>
      <w:r w:rsidR="004E5C62" w:rsidRPr="00D40080">
        <w:rPr>
          <w:rFonts w:eastAsia="Calibri"/>
        </w:rPr>
        <w:t xml:space="preserve"> Rodríguez</w:t>
      </w:r>
      <w:r w:rsidR="004E5C62">
        <w:rPr>
          <w:rFonts w:eastAsia="Calibri"/>
        </w:rPr>
        <w:t xml:space="preserve">, 2018). </w:t>
      </w:r>
      <w:r w:rsidR="008839B5" w:rsidRPr="00D40080">
        <w:rPr>
          <w:vertAlign w:val="superscript"/>
        </w:rPr>
        <w:t xml:space="preserve"> </w:t>
      </w:r>
    </w:p>
    <w:p w:rsidR="00AA007A" w:rsidRPr="00D40080" w:rsidRDefault="00AA007A" w:rsidP="00D82C9B">
      <w:pPr>
        <w:spacing w:before="240" w:after="240" w:line="360" w:lineRule="auto"/>
        <w:jc w:val="both"/>
        <w:rPr>
          <w:vertAlign w:val="superscript"/>
        </w:rPr>
      </w:pPr>
      <w:r w:rsidRPr="00D40080">
        <w:lastRenderedPageBreak/>
        <w:t xml:space="preserve">Es obvio para todos, que la pérdida de sangre en la orina no es un evento normal. En general, una orina rojiza o con coloración oscura suele indicar que hay algo de errado en el sistema genitourinario. </w:t>
      </w:r>
      <w:r w:rsidR="00DF1ED3">
        <w:t>(</w:t>
      </w:r>
      <w:proofErr w:type="spellStart"/>
      <w:r w:rsidR="00DF1ED3" w:rsidRPr="00D40080">
        <w:rPr>
          <w:rFonts w:eastAsia="Calibri"/>
        </w:rPr>
        <w:t>Pinheiro</w:t>
      </w:r>
      <w:proofErr w:type="spellEnd"/>
      <w:r w:rsidR="00DF1ED3">
        <w:rPr>
          <w:rFonts w:eastAsia="Calibri"/>
        </w:rPr>
        <w:t>, 2015)</w:t>
      </w:r>
      <w:r w:rsidR="00E75FD0">
        <w:rPr>
          <w:rFonts w:eastAsia="Calibri"/>
        </w:rPr>
        <w:t>.</w:t>
      </w:r>
    </w:p>
    <w:p w:rsidR="00BD6004" w:rsidRPr="00E75FD0" w:rsidRDefault="00AA007A" w:rsidP="00D82C9B">
      <w:pPr>
        <w:spacing w:before="240" w:after="240" w:line="360" w:lineRule="auto"/>
        <w:jc w:val="both"/>
        <w:rPr>
          <w:rFonts w:eastAsia="Calibri"/>
        </w:rPr>
      </w:pPr>
      <w:r w:rsidRPr="00D40080">
        <w:t>La hematuria se define como un aumento de eliminación de sangre en la orina.</w:t>
      </w:r>
      <w:r w:rsidR="00DF1ED3">
        <w:t xml:space="preserve"> (</w:t>
      </w:r>
      <w:proofErr w:type="spellStart"/>
      <w:r w:rsidR="00DF1ED3" w:rsidRPr="00D40080">
        <w:rPr>
          <w:rFonts w:eastAsia="Calibri"/>
        </w:rPr>
        <w:t>Tauler</w:t>
      </w:r>
      <w:proofErr w:type="spellEnd"/>
      <w:r w:rsidR="00DF1ED3" w:rsidRPr="00D40080">
        <w:rPr>
          <w:rFonts w:eastAsia="Calibri"/>
        </w:rPr>
        <w:t xml:space="preserve"> Girona</w:t>
      </w:r>
      <w:r w:rsidR="00DF1ED3">
        <w:rPr>
          <w:rFonts w:eastAsia="Calibri"/>
        </w:rPr>
        <w:t xml:space="preserve">, 2013) </w:t>
      </w:r>
      <w:r w:rsidRPr="00D40080">
        <w:t>Esta no siempre es visible para el ojo desnudo.</w:t>
      </w:r>
      <w:r w:rsidR="00DF1ED3">
        <w:t xml:space="preserve"> (</w:t>
      </w:r>
      <w:proofErr w:type="spellStart"/>
      <w:r w:rsidR="00DF1ED3" w:rsidRPr="00D40080">
        <w:rPr>
          <w:rFonts w:eastAsia="Calibri"/>
        </w:rPr>
        <w:t>Pinheiro</w:t>
      </w:r>
      <w:proofErr w:type="spellEnd"/>
      <w:r w:rsidR="00DF1ED3">
        <w:rPr>
          <w:rFonts w:eastAsia="Calibri"/>
        </w:rPr>
        <w:t>, 2015)</w:t>
      </w:r>
      <w:r w:rsidRPr="00D40080">
        <w:t xml:space="preserve"> Pues puede presentarse de dos maneras: la </w:t>
      </w:r>
      <w:proofErr w:type="spellStart"/>
      <w:r w:rsidRPr="00D40080">
        <w:t>macrohematuria</w:t>
      </w:r>
      <w:proofErr w:type="spellEnd"/>
      <w:r w:rsidRPr="00D40080">
        <w:t xml:space="preserve">, que es la presencia de sangre en orina que es objetivable a simple vista, y la </w:t>
      </w:r>
      <w:proofErr w:type="spellStart"/>
      <w:r w:rsidRPr="00D40080">
        <w:t>microhematuria</w:t>
      </w:r>
      <w:proofErr w:type="spellEnd"/>
      <w:r w:rsidRPr="00D40080">
        <w:t>, en la que se detecta sólo tras realizar un estudio de la muestra de orina</w:t>
      </w:r>
      <w:r w:rsidR="00DF1ED3">
        <w:t xml:space="preserve"> (</w:t>
      </w:r>
      <w:proofErr w:type="spellStart"/>
      <w:r w:rsidR="00DF1ED3" w:rsidRPr="00D40080">
        <w:rPr>
          <w:rFonts w:eastAsia="Calibri"/>
        </w:rPr>
        <w:t>Tauler</w:t>
      </w:r>
      <w:proofErr w:type="spellEnd"/>
      <w:r w:rsidR="00DF1ED3" w:rsidRPr="00D40080">
        <w:rPr>
          <w:rFonts w:eastAsia="Calibri"/>
        </w:rPr>
        <w:t xml:space="preserve"> Girona</w:t>
      </w:r>
      <w:r w:rsidR="00DF1ED3">
        <w:rPr>
          <w:rFonts w:eastAsia="Calibri"/>
        </w:rPr>
        <w:t xml:space="preserve">, 2015; </w:t>
      </w:r>
      <w:proofErr w:type="spellStart"/>
      <w:r w:rsidR="00DF1ED3" w:rsidRPr="00D40080">
        <w:rPr>
          <w:rFonts w:eastAsia="Calibri"/>
        </w:rPr>
        <w:t>Len</w:t>
      </w:r>
      <w:proofErr w:type="spellEnd"/>
      <w:r w:rsidR="00DF1ED3" w:rsidRPr="00D40080">
        <w:rPr>
          <w:rFonts w:eastAsia="Calibri"/>
        </w:rPr>
        <w:t xml:space="preserve"> Aguilera </w:t>
      </w:r>
      <w:r w:rsidR="00DF1ED3" w:rsidRPr="0009436C">
        <w:rPr>
          <w:rFonts w:eastAsia="Calibri"/>
        </w:rPr>
        <w:t>&amp;</w:t>
      </w:r>
      <w:r w:rsidR="00DF1ED3" w:rsidRPr="00D40080">
        <w:rPr>
          <w:rFonts w:eastAsia="Calibri"/>
        </w:rPr>
        <w:t xml:space="preserve"> de la Mata Franco</w:t>
      </w:r>
      <w:r w:rsidR="00A32FB0">
        <w:rPr>
          <w:rFonts w:eastAsia="Calibri"/>
        </w:rPr>
        <w:t>, 2015</w:t>
      </w:r>
      <w:r w:rsidR="00DF1ED3">
        <w:rPr>
          <w:rFonts w:eastAsia="Calibri"/>
        </w:rPr>
        <w:t xml:space="preserve">; Estévez </w:t>
      </w:r>
      <w:r w:rsidR="00DF1ED3" w:rsidRPr="00D40080">
        <w:rPr>
          <w:rFonts w:eastAsia="Calibri"/>
        </w:rPr>
        <w:t>Capacho</w:t>
      </w:r>
      <w:r w:rsidR="00DF1ED3">
        <w:rPr>
          <w:rFonts w:eastAsia="Calibri"/>
        </w:rPr>
        <w:t xml:space="preserve">, Moreno </w:t>
      </w:r>
      <w:r w:rsidR="00DF1ED3" w:rsidRPr="00D40080">
        <w:rPr>
          <w:rFonts w:eastAsia="Calibri"/>
        </w:rPr>
        <w:t xml:space="preserve">Díaz  </w:t>
      </w:r>
      <w:r w:rsidR="00DF1ED3" w:rsidRPr="0009436C">
        <w:rPr>
          <w:rFonts w:eastAsia="Calibri"/>
        </w:rPr>
        <w:t>&amp;</w:t>
      </w:r>
      <w:r w:rsidR="00DF1ED3">
        <w:rPr>
          <w:rFonts w:eastAsia="Calibri"/>
        </w:rPr>
        <w:t xml:space="preserve"> Martínez </w:t>
      </w:r>
      <w:r w:rsidR="00DF1ED3" w:rsidRPr="00D40080">
        <w:rPr>
          <w:rFonts w:eastAsia="Calibri"/>
        </w:rPr>
        <w:t>Cáceres</w:t>
      </w:r>
      <w:r w:rsidR="00DF1ED3">
        <w:rPr>
          <w:rFonts w:eastAsia="Calibri"/>
        </w:rPr>
        <w:t>, 2015</w:t>
      </w:r>
      <w:proofErr w:type="gramStart"/>
      <w:r w:rsidR="00DF1ED3">
        <w:rPr>
          <w:rFonts w:eastAsia="Calibri"/>
        </w:rPr>
        <w:t>)</w:t>
      </w:r>
      <w:r w:rsidR="00176631" w:rsidRPr="00D40080">
        <w:rPr>
          <w:vertAlign w:val="superscript"/>
        </w:rPr>
        <w:t xml:space="preserve"> </w:t>
      </w:r>
      <w:r w:rsidR="00E75FD0">
        <w:rPr>
          <w:rFonts w:eastAsia="Calibri"/>
        </w:rPr>
        <w:t>.</w:t>
      </w:r>
      <w:proofErr w:type="gramEnd"/>
    </w:p>
    <w:p w:rsidR="00BD6004" w:rsidRPr="00D40080" w:rsidRDefault="00AA007A" w:rsidP="00D82C9B">
      <w:pPr>
        <w:spacing w:before="240" w:after="240" w:line="360" w:lineRule="auto"/>
        <w:jc w:val="both"/>
        <w:rPr>
          <w:vertAlign w:val="superscript"/>
        </w:rPr>
      </w:pPr>
      <w:r w:rsidRPr="00D40080">
        <w:t>Desde el punto de vista etiológico la hematuria puede estar relacionada con una gran variedad de patologías, urológicas o nefrológicas, benignas o potencialmente graves. No todos los niños con hematuria, por tanto, precisarán las mismas investigaciones, debiendo orientarse las pruebas diagnósticas a partir de una historia clínica completa, estructurada y adaptada a las características del caso. Nuestra actuación también va estar condicionada por los medios disponibles y por la proximidad de una unidad hospitalaria de referencia. Es necesario recordar algunos puntos sobre las muestras de orina que pueden evitar errores frecuentes</w:t>
      </w:r>
      <w:r w:rsidR="00A32FB0">
        <w:t xml:space="preserve"> (</w:t>
      </w:r>
      <w:r w:rsidR="00A32FB0" w:rsidRPr="00D40080">
        <w:rPr>
          <w:rFonts w:eastAsia="Calibri"/>
        </w:rPr>
        <w:t xml:space="preserve">Pérez </w:t>
      </w:r>
      <w:proofErr w:type="spellStart"/>
      <w:r w:rsidR="00A32FB0" w:rsidRPr="00D40080">
        <w:rPr>
          <w:rFonts w:eastAsia="Calibri"/>
        </w:rPr>
        <w:t>Basterrechea</w:t>
      </w:r>
      <w:proofErr w:type="spellEnd"/>
      <w:r w:rsidR="00A32FB0" w:rsidRPr="00D40080">
        <w:rPr>
          <w:rFonts w:eastAsia="Calibri"/>
        </w:rPr>
        <w:t xml:space="preserve">, Méndez Sánchez, Martínez Suárez </w:t>
      </w:r>
      <w:r w:rsidR="00A32FB0" w:rsidRPr="0009436C">
        <w:rPr>
          <w:rFonts w:eastAsia="Calibri"/>
        </w:rPr>
        <w:t>&amp;</w:t>
      </w:r>
      <w:r w:rsidR="00A32FB0" w:rsidRPr="00D40080">
        <w:rPr>
          <w:rFonts w:eastAsia="Calibri"/>
        </w:rPr>
        <w:t xml:space="preserve"> Ordóñez Álvarez</w:t>
      </w:r>
      <w:r w:rsidR="00A32FB0">
        <w:t>, 2016)</w:t>
      </w:r>
      <w:r w:rsidR="00E75FD0">
        <w:t>.</w:t>
      </w:r>
      <w:r w:rsidR="00176631" w:rsidRPr="00D40080">
        <w:rPr>
          <w:vertAlign w:val="superscript"/>
        </w:rPr>
        <w:t xml:space="preserve"> </w:t>
      </w:r>
    </w:p>
    <w:p w:rsidR="00A32FB0" w:rsidRPr="00D40080" w:rsidRDefault="00AA007A" w:rsidP="00D82C9B">
      <w:pPr>
        <w:spacing w:before="240" w:after="240" w:line="360" w:lineRule="auto"/>
        <w:jc w:val="both"/>
        <w:rPr>
          <w:vertAlign w:val="superscript"/>
        </w:rPr>
      </w:pPr>
      <w:r w:rsidRPr="00D40080">
        <w:t xml:space="preserve">Su incidencia y prevalencia varían según se trate de estudios de despistaje o de series casuísticas, del tipo de población estudiada, edad de los pacientes y sexo. Esto hace que los datos publicados no sean fácilmente comparables. </w:t>
      </w:r>
      <w:r w:rsidR="00A32FB0">
        <w:t>(</w:t>
      </w:r>
      <w:r w:rsidR="00A32FB0" w:rsidRPr="00D40080">
        <w:rPr>
          <w:rFonts w:eastAsia="Calibri"/>
        </w:rPr>
        <w:t xml:space="preserve">Pérez </w:t>
      </w:r>
      <w:proofErr w:type="spellStart"/>
      <w:r w:rsidR="00A32FB0" w:rsidRPr="00D40080">
        <w:rPr>
          <w:rFonts w:eastAsia="Calibri"/>
        </w:rPr>
        <w:t>Basterrechea</w:t>
      </w:r>
      <w:proofErr w:type="spellEnd"/>
      <w:r w:rsidR="00A32FB0" w:rsidRPr="00D40080">
        <w:rPr>
          <w:rFonts w:eastAsia="Calibri"/>
        </w:rPr>
        <w:t xml:space="preserve">, Méndez Sánchez, Martínez Suárez </w:t>
      </w:r>
      <w:r w:rsidR="00A32FB0" w:rsidRPr="0009436C">
        <w:rPr>
          <w:rFonts w:eastAsia="Calibri"/>
        </w:rPr>
        <w:t>&amp;</w:t>
      </w:r>
      <w:r w:rsidR="00A32FB0" w:rsidRPr="00D40080">
        <w:rPr>
          <w:rFonts w:eastAsia="Calibri"/>
        </w:rPr>
        <w:t xml:space="preserve"> Ordóñez Álvarez</w:t>
      </w:r>
      <w:r w:rsidR="00A32FB0">
        <w:t>, 2016)</w:t>
      </w:r>
      <w:r w:rsidR="00E75FD0">
        <w:t>.</w:t>
      </w:r>
      <w:r w:rsidR="00A32FB0" w:rsidRPr="00D40080">
        <w:rPr>
          <w:vertAlign w:val="superscript"/>
        </w:rPr>
        <w:t xml:space="preserve"> </w:t>
      </w:r>
    </w:p>
    <w:p w:rsidR="00BD6004" w:rsidRPr="00D40080" w:rsidRDefault="00AA007A" w:rsidP="00D82C9B">
      <w:pPr>
        <w:spacing w:before="240" w:after="240" w:line="360" w:lineRule="auto"/>
        <w:jc w:val="both"/>
        <w:rPr>
          <w:vertAlign w:val="superscript"/>
        </w:rPr>
      </w:pPr>
      <w:r w:rsidRPr="00D40080">
        <w:t>La hematuria microscópica asintomática tiene una prevalencia en edad escolar de un 3-6% si consideramos una única muestra de orina. Esta alta prevalencia baja al 1% si se analizan dos o más muestras con algunas semanas de intervalo.</w:t>
      </w:r>
      <w:r w:rsidR="00A32FB0" w:rsidRPr="00A32FB0">
        <w:t xml:space="preserve"> </w:t>
      </w:r>
      <w:r w:rsidR="00A32FB0">
        <w:t>(</w:t>
      </w:r>
      <w:proofErr w:type="spellStart"/>
      <w:r w:rsidR="00A32FB0" w:rsidRPr="00D40080">
        <w:rPr>
          <w:rFonts w:eastAsia="Calibri"/>
        </w:rPr>
        <w:t>Tauler</w:t>
      </w:r>
      <w:proofErr w:type="spellEnd"/>
      <w:r w:rsidR="00A32FB0" w:rsidRPr="00D40080">
        <w:rPr>
          <w:rFonts w:eastAsia="Calibri"/>
        </w:rPr>
        <w:t xml:space="preserve"> Girona</w:t>
      </w:r>
      <w:r w:rsidR="00A32FB0">
        <w:rPr>
          <w:rFonts w:eastAsia="Calibri"/>
        </w:rPr>
        <w:t xml:space="preserve">, 2015; </w:t>
      </w:r>
      <w:proofErr w:type="spellStart"/>
      <w:r w:rsidR="00A32FB0" w:rsidRPr="00D40080">
        <w:rPr>
          <w:rFonts w:eastAsia="Calibri"/>
        </w:rPr>
        <w:t>Len</w:t>
      </w:r>
      <w:proofErr w:type="spellEnd"/>
      <w:r w:rsidR="00A32FB0" w:rsidRPr="00D40080">
        <w:rPr>
          <w:rFonts w:eastAsia="Calibri"/>
        </w:rPr>
        <w:t xml:space="preserve"> Aguilera </w:t>
      </w:r>
      <w:r w:rsidR="00A32FB0" w:rsidRPr="0009436C">
        <w:rPr>
          <w:rFonts w:eastAsia="Calibri"/>
        </w:rPr>
        <w:t>&amp;</w:t>
      </w:r>
      <w:r w:rsidR="00A32FB0" w:rsidRPr="00D40080">
        <w:rPr>
          <w:rFonts w:eastAsia="Calibri"/>
        </w:rPr>
        <w:t xml:space="preserve"> de la Mata Franco</w:t>
      </w:r>
      <w:r w:rsidR="00A32FB0">
        <w:rPr>
          <w:rFonts w:eastAsia="Calibri"/>
        </w:rPr>
        <w:t>, 2015)</w:t>
      </w:r>
      <w:r w:rsidR="00176631" w:rsidRPr="00D40080">
        <w:rPr>
          <w:vertAlign w:val="superscript"/>
        </w:rPr>
        <w:t xml:space="preserve"> </w:t>
      </w:r>
      <w:r w:rsidRPr="00D40080">
        <w:t>Finalmente, sólo un tercio presentará hematuria persistente seis meses después. La asociación hematuria y proteinuria tien</w:t>
      </w:r>
      <w:r w:rsidR="00176631" w:rsidRPr="00D40080">
        <w:t>e una prevalencia inferior al 0.</w:t>
      </w:r>
      <w:r w:rsidRPr="00D40080">
        <w:t>7%. La incidencia de he</w:t>
      </w:r>
      <w:r w:rsidR="00176631" w:rsidRPr="00D40080">
        <w:t>maturia macroscópica es de un 0.</w:t>
      </w:r>
      <w:r w:rsidRPr="00D40080">
        <w:t>13%</w:t>
      </w:r>
      <w:r w:rsidR="00E75FD0">
        <w:t xml:space="preserve"> </w:t>
      </w:r>
      <w:r w:rsidR="00A32FB0">
        <w:t>(</w:t>
      </w:r>
      <w:proofErr w:type="spellStart"/>
      <w:r w:rsidR="00A32FB0" w:rsidRPr="00D40080">
        <w:rPr>
          <w:rFonts w:eastAsia="Calibri"/>
        </w:rPr>
        <w:t>Tauler</w:t>
      </w:r>
      <w:proofErr w:type="spellEnd"/>
      <w:r w:rsidR="00A32FB0" w:rsidRPr="00D40080">
        <w:rPr>
          <w:rFonts w:eastAsia="Calibri"/>
        </w:rPr>
        <w:t xml:space="preserve"> Girona</w:t>
      </w:r>
      <w:r w:rsidR="00A32FB0">
        <w:rPr>
          <w:rFonts w:eastAsia="Calibri"/>
        </w:rPr>
        <w:t>, 2015)</w:t>
      </w:r>
      <w:r w:rsidR="00E75FD0">
        <w:rPr>
          <w:rFonts w:eastAsia="Calibri"/>
        </w:rPr>
        <w:t>.</w:t>
      </w:r>
      <w:r w:rsidR="00176631" w:rsidRPr="00D40080">
        <w:rPr>
          <w:vertAlign w:val="superscript"/>
        </w:rPr>
        <w:t xml:space="preserve"> </w:t>
      </w:r>
    </w:p>
    <w:p w:rsidR="00BD6004" w:rsidRPr="00D40080" w:rsidRDefault="00AA007A" w:rsidP="00D82C9B">
      <w:pPr>
        <w:spacing w:before="240" w:after="240" w:line="360" w:lineRule="auto"/>
        <w:jc w:val="both"/>
        <w:rPr>
          <w:vertAlign w:val="superscript"/>
        </w:rPr>
      </w:pPr>
      <w:r w:rsidRPr="00D40080">
        <w:t xml:space="preserve">En otros estudios refieren una  incidencia de la variante microscópica entre </w:t>
      </w:r>
      <w:r w:rsidR="00176631" w:rsidRPr="00D40080">
        <w:t>los niños de edad escolar de  0.</w:t>
      </w:r>
      <w:r w:rsidRPr="00D40080">
        <w:t>4 y 2%. Pese a ello, en algunos casos es una manifestación de enfermedad grave</w:t>
      </w:r>
      <w:r w:rsidR="00A32FB0" w:rsidRPr="00A32FB0">
        <w:rPr>
          <w:rFonts w:eastAsia="Calibri"/>
        </w:rPr>
        <w:t xml:space="preserve"> </w:t>
      </w:r>
      <w:proofErr w:type="gramStart"/>
      <w:r w:rsidR="00A32FB0">
        <w:rPr>
          <w:rFonts w:eastAsia="Calibri"/>
        </w:rPr>
        <w:t xml:space="preserve">( </w:t>
      </w:r>
      <w:r w:rsidR="00A32FB0" w:rsidRPr="00D40080">
        <w:rPr>
          <w:rFonts w:eastAsia="Calibri"/>
        </w:rPr>
        <w:t>de</w:t>
      </w:r>
      <w:proofErr w:type="gramEnd"/>
      <w:r w:rsidR="00A32FB0" w:rsidRPr="00D40080">
        <w:rPr>
          <w:rFonts w:eastAsia="Calibri"/>
        </w:rPr>
        <w:t xml:space="preserve"> la Rosa Brito, Guzmán </w:t>
      </w:r>
      <w:r w:rsidR="00A32FB0">
        <w:rPr>
          <w:rFonts w:eastAsia="Calibri"/>
        </w:rPr>
        <w:t>&amp;</w:t>
      </w:r>
      <w:r w:rsidR="00A32FB0" w:rsidRPr="00D40080">
        <w:rPr>
          <w:rFonts w:eastAsia="Calibri"/>
        </w:rPr>
        <w:t xml:space="preserve"> Rodríguez</w:t>
      </w:r>
      <w:r w:rsidR="00A32FB0">
        <w:rPr>
          <w:rFonts w:eastAsia="Calibri"/>
        </w:rPr>
        <w:t xml:space="preserve">, 2018; </w:t>
      </w:r>
      <w:r w:rsidR="00A32FB0" w:rsidRPr="00A32FB0">
        <w:rPr>
          <w:rFonts w:eastAsia="Calibri"/>
          <w:noProof/>
        </w:rPr>
        <w:t xml:space="preserve">Schwartz,  Distal,  Shapiro </w:t>
      </w:r>
      <w:r w:rsidR="00A32FB0">
        <w:rPr>
          <w:rFonts w:eastAsia="Calibri"/>
        </w:rPr>
        <w:t>&amp;</w:t>
      </w:r>
      <w:r w:rsidR="00A32FB0" w:rsidRPr="00A32FB0">
        <w:rPr>
          <w:rFonts w:eastAsia="Calibri"/>
          <w:noProof/>
        </w:rPr>
        <w:t xml:space="preserve">  Waisman</w:t>
      </w:r>
      <w:r w:rsidR="00A32FB0">
        <w:rPr>
          <w:rFonts w:eastAsia="Calibri"/>
          <w:noProof/>
        </w:rPr>
        <w:t xml:space="preserve">, </w:t>
      </w:r>
      <w:r w:rsidR="00C17FDE">
        <w:rPr>
          <w:rFonts w:eastAsia="Calibri"/>
          <w:noProof/>
        </w:rPr>
        <w:t>2017)</w:t>
      </w:r>
      <w:r w:rsidR="00E75FD0">
        <w:rPr>
          <w:rFonts w:eastAsia="Calibri"/>
          <w:noProof/>
        </w:rPr>
        <w:t>.</w:t>
      </w:r>
      <w:r w:rsidR="00176631" w:rsidRPr="00D40080">
        <w:rPr>
          <w:vertAlign w:val="superscript"/>
        </w:rPr>
        <w:t xml:space="preserve"> </w:t>
      </w:r>
    </w:p>
    <w:p w:rsidR="00BD6004" w:rsidRPr="00D40080" w:rsidRDefault="00AA007A" w:rsidP="00D82C9B">
      <w:pPr>
        <w:spacing w:before="240" w:after="240" w:line="360" w:lineRule="auto"/>
        <w:jc w:val="both"/>
        <w:rPr>
          <w:vertAlign w:val="superscript"/>
        </w:rPr>
      </w:pPr>
      <w:r w:rsidRPr="00D40080">
        <w:lastRenderedPageBreak/>
        <w:t>Como se puede apreciar no hay un consenso entre los investigadores sobre  la  incidencia de hematuria en niños, hay  otros autores que</w:t>
      </w:r>
      <w:r w:rsidR="00176631" w:rsidRPr="00D40080">
        <w:t xml:space="preserve"> la estiman en un  0.</w:t>
      </w:r>
      <w:r w:rsidRPr="00D40080">
        <w:t>13%. En más de la mitad de los casos (56%) se debe a una causa fácil de identificar. La microscópica asintomática es diez veces más frecuente que la macroscópica. Muchos casos de la primera son transitorios y ante repetidas evaluaciones la prev</w:t>
      </w:r>
      <w:r w:rsidR="00176631" w:rsidRPr="00D40080">
        <w:t>alencia disminuye a menos del 0.</w:t>
      </w:r>
      <w:r w:rsidRPr="00D40080">
        <w:t>5%. Si hay hematuria y proteinuria puede coexistir una enfermedad renal significativa</w:t>
      </w:r>
      <w:r w:rsidR="00ED3DBB" w:rsidRPr="00ED3DBB">
        <w:rPr>
          <w:rFonts w:eastAsia="Calibri"/>
        </w:rPr>
        <w:t xml:space="preserve"> </w:t>
      </w:r>
      <w:r w:rsidR="00ED3DBB">
        <w:rPr>
          <w:rFonts w:eastAsia="Calibri"/>
        </w:rPr>
        <w:t>(</w:t>
      </w:r>
      <w:r w:rsidR="00ED3DBB" w:rsidRPr="00D40080">
        <w:rPr>
          <w:rFonts w:eastAsia="Calibri"/>
        </w:rPr>
        <w:t xml:space="preserve">Preciado, Cáceres, Beltrán </w:t>
      </w:r>
      <w:r w:rsidR="00ED3DBB">
        <w:rPr>
          <w:rFonts w:eastAsia="Calibri"/>
        </w:rPr>
        <w:t>&amp;</w:t>
      </w:r>
      <w:r w:rsidR="00ED3DBB" w:rsidRPr="00D40080">
        <w:rPr>
          <w:rFonts w:eastAsia="Calibri"/>
        </w:rPr>
        <w:t xml:space="preserve"> Ortiz</w:t>
      </w:r>
      <w:r w:rsidR="00ED3DBB">
        <w:rPr>
          <w:rFonts w:eastAsia="Calibri"/>
        </w:rPr>
        <w:t>, 2015)</w:t>
      </w:r>
      <w:r w:rsidR="00E75FD0">
        <w:rPr>
          <w:rFonts w:eastAsia="Calibri"/>
        </w:rPr>
        <w:t>.</w:t>
      </w:r>
      <w:r w:rsidRPr="00D40080">
        <w:t xml:space="preserve"> </w:t>
      </w:r>
    </w:p>
    <w:p w:rsidR="00E75FD0" w:rsidRDefault="00AA007A" w:rsidP="00D82C9B">
      <w:pPr>
        <w:spacing w:before="240" w:after="240" w:line="360" w:lineRule="auto"/>
        <w:jc w:val="both"/>
      </w:pPr>
      <w:r w:rsidRPr="00D40080">
        <w:t>La incidencia de hematuria macroscópica, aunque variable según las diferentes p</w:t>
      </w:r>
      <w:r w:rsidR="003A624E" w:rsidRPr="00D40080">
        <w:t>ublicaciones, se encuentra en 1.</w:t>
      </w:r>
      <w:r w:rsidRPr="00D40080">
        <w:t>3/1000 consultas en un Se</w:t>
      </w:r>
      <w:r w:rsidR="00E75FD0">
        <w:t>rvicio de Urgencias Pediátricas</w:t>
      </w:r>
      <w:r w:rsidR="00ED3DBB" w:rsidRPr="00ED3DBB">
        <w:rPr>
          <w:rFonts w:eastAsia="Calibri"/>
        </w:rPr>
        <w:t xml:space="preserve"> </w:t>
      </w:r>
      <w:proofErr w:type="gramStart"/>
      <w:r w:rsidR="00ED3DBB">
        <w:rPr>
          <w:rFonts w:eastAsia="Calibri"/>
        </w:rPr>
        <w:t xml:space="preserve">( </w:t>
      </w:r>
      <w:proofErr w:type="spellStart"/>
      <w:r w:rsidR="00ED3DBB" w:rsidRPr="00D40080">
        <w:rPr>
          <w:rFonts w:eastAsia="Calibri"/>
        </w:rPr>
        <w:t>Len</w:t>
      </w:r>
      <w:proofErr w:type="spellEnd"/>
      <w:proofErr w:type="gramEnd"/>
      <w:r w:rsidR="00ED3DBB" w:rsidRPr="00D40080">
        <w:rPr>
          <w:rFonts w:eastAsia="Calibri"/>
        </w:rPr>
        <w:t xml:space="preserve"> Aguilera </w:t>
      </w:r>
      <w:r w:rsidR="00ED3DBB" w:rsidRPr="0009436C">
        <w:rPr>
          <w:rFonts w:eastAsia="Calibri"/>
        </w:rPr>
        <w:t>&amp;</w:t>
      </w:r>
      <w:r w:rsidR="00ED3DBB" w:rsidRPr="00D40080">
        <w:rPr>
          <w:rFonts w:eastAsia="Calibri"/>
        </w:rPr>
        <w:t xml:space="preserve"> de la Mata Franco</w:t>
      </w:r>
      <w:r w:rsidR="00ED3DBB">
        <w:rPr>
          <w:rFonts w:eastAsia="Calibri"/>
        </w:rPr>
        <w:t>, 2015)</w:t>
      </w:r>
      <w:r w:rsidR="00E75FD0">
        <w:rPr>
          <w:rFonts w:eastAsia="Calibri"/>
        </w:rPr>
        <w:t>.</w:t>
      </w:r>
      <w:r w:rsidR="00ED3DBB" w:rsidRPr="00D40080">
        <w:rPr>
          <w:vertAlign w:val="superscript"/>
        </w:rPr>
        <w:t xml:space="preserve"> </w:t>
      </w:r>
      <w:r w:rsidRPr="00D40080">
        <w:t>La incidencia de hematuria no se encuentra bien determinada en la edad pediátrica; se estima que la hematuria macroscópica tiene un</w:t>
      </w:r>
      <w:r w:rsidR="003A624E" w:rsidRPr="00D40080">
        <w:t>a frecuencia de 1.3 casos por 1</w:t>
      </w:r>
      <w:r w:rsidRPr="00D40080">
        <w:t xml:space="preserve">000 consultas de niños y adolescentes; no obstante, esta frecuencia es menor que la de hematuria microscópica. </w:t>
      </w:r>
    </w:p>
    <w:p w:rsidR="00BD6004" w:rsidRPr="00D40080" w:rsidRDefault="00AA007A" w:rsidP="00D82C9B">
      <w:pPr>
        <w:spacing w:before="240" w:after="240" w:line="360" w:lineRule="auto"/>
        <w:jc w:val="both"/>
        <w:rPr>
          <w:vertAlign w:val="superscript"/>
        </w:rPr>
      </w:pPr>
      <w:r w:rsidRPr="00D40080">
        <w:t>La prevalencia de hematuria</w:t>
      </w:r>
      <w:r w:rsidR="003A624E" w:rsidRPr="00D40080">
        <w:t xml:space="preserve"> </w:t>
      </w:r>
      <w:r w:rsidRPr="00D40080">
        <w:t>microscópica se ha estimado en un 0.5% a 4.0% en relación con el número de muestras analizadas para su confirmación.  En un estudio prospectivo realizado en la ciudad de Cali, sobre la prevalencia de indicadores de anormalidad  urinaria en escolares, se encontró la presencia de anomalías urinarias asintomáticas en un 7.9% de la población estudiada; de estos, el 14.0% presentaban hematuria y el 10.7% hematuria más proteinuria.</w:t>
      </w:r>
      <w:r w:rsidR="00ED3DBB">
        <w:t xml:space="preserve"> (</w:t>
      </w:r>
      <w:r w:rsidR="00ED3DBB">
        <w:rPr>
          <w:rFonts w:eastAsia="Calibri"/>
        </w:rPr>
        <w:t xml:space="preserve">Estévez </w:t>
      </w:r>
      <w:r w:rsidR="00ED3DBB" w:rsidRPr="00D40080">
        <w:rPr>
          <w:rFonts w:eastAsia="Calibri"/>
        </w:rPr>
        <w:t>Capacho, Moren</w:t>
      </w:r>
      <w:r w:rsidR="00ED3DBB">
        <w:rPr>
          <w:rFonts w:eastAsia="Calibri"/>
        </w:rPr>
        <w:t>o Díaz &amp; Martínez Cáceres, 2015)</w:t>
      </w:r>
    </w:p>
    <w:p w:rsidR="00BD6004" w:rsidRPr="00D40080" w:rsidRDefault="00AA007A" w:rsidP="00D82C9B">
      <w:pPr>
        <w:spacing w:before="240" w:after="240" w:line="360" w:lineRule="auto"/>
        <w:jc w:val="both"/>
        <w:rPr>
          <w:vertAlign w:val="superscript"/>
        </w:rPr>
      </w:pPr>
      <w:r w:rsidRPr="00D40080">
        <w:t xml:space="preserve">Varios estudios poblacionales de niños en edad escolar han demostrado que la tasa de prevalencia de la microscópica detectada en una sola muestra de orina es de 3 a 4%, lo que corresponde a 1% o menos con dos o más muestras positivas, la combinación con proteinuria es menos común, </w:t>
      </w:r>
      <w:r w:rsidR="003A624E" w:rsidRPr="00D40080">
        <w:t>cuya prevalencia es menor del 0.</w:t>
      </w:r>
      <w:r w:rsidRPr="00D40080">
        <w:t>7% en niños en edad escolar en una sola muestra de orina.</w:t>
      </w:r>
      <w:r w:rsidR="00ED3DBB" w:rsidRPr="00ED3DBB">
        <w:rPr>
          <w:rFonts w:eastAsia="Calibri"/>
        </w:rPr>
        <w:t xml:space="preserve"> </w:t>
      </w:r>
      <w:r w:rsidR="00ED3DBB">
        <w:rPr>
          <w:rFonts w:eastAsia="Calibri"/>
        </w:rPr>
        <w:t>(</w:t>
      </w:r>
      <w:r w:rsidR="00ED3DBB" w:rsidRPr="00D40080">
        <w:rPr>
          <w:rFonts w:eastAsia="Calibri"/>
        </w:rPr>
        <w:t xml:space="preserve">Preciado, Cáceres, Beltrán </w:t>
      </w:r>
      <w:r w:rsidR="00ED3DBB">
        <w:rPr>
          <w:rFonts w:eastAsia="Calibri"/>
        </w:rPr>
        <w:t>&amp;</w:t>
      </w:r>
      <w:r w:rsidR="00ED3DBB" w:rsidRPr="00D40080">
        <w:rPr>
          <w:rFonts w:eastAsia="Calibri"/>
        </w:rPr>
        <w:t xml:space="preserve"> Ortiz</w:t>
      </w:r>
      <w:r w:rsidR="00ED3DBB">
        <w:rPr>
          <w:rFonts w:eastAsia="Calibri"/>
        </w:rPr>
        <w:t>, 2015)</w:t>
      </w:r>
      <w:r w:rsidR="00ED3DBB" w:rsidRPr="00D40080">
        <w:t xml:space="preserve"> </w:t>
      </w:r>
      <w:r w:rsidR="003A624E" w:rsidRPr="00D40080">
        <w:rPr>
          <w:vertAlign w:val="superscript"/>
        </w:rPr>
        <w:t xml:space="preserve"> </w:t>
      </w:r>
    </w:p>
    <w:p w:rsidR="00BD6004" w:rsidRPr="00D40080" w:rsidRDefault="00AA007A" w:rsidP="00D82C9B">
      <w:pPr>
        <w:spacing w:before="240" w:after="240" w:line="360" w:lineRule="auto"/>
        <w:jc w:val="both"/>
        <w:rPr>
          <w:vertAlign w:val="superscript"/>
        </w:rPr>
      </w:pPr>
      <w:r w:rsidRPr="00D40080">
        <w:t>Con frecuencia la ITU presenta anormalidades en el sedimento urinario. Por ejemplo, en Colombia es reconocida como causa de hematuria hasta en 14 % de los casos,</w:t>
      </w:r>
      <w:r w:rsidR="003A624E" w:rsidRPr="00D40080">
        <w:t xml:space="preserve"> </w:t>
      </w:r>
      <w:r w:rsidRPr="00D40080">
        <w:t>sin embargo es de destacarse que en población de niños hay reportes</w:t>
      </w:r>
      <w:r w:rsidR="003A624E" w:rsidRPr="00D40080">
        <w:t xml:space="preserve"> de hematuria macroscópica de 0.</w:t>
      </w:r>
      <w:r w:rsidRPr="00D40080">
        <w:t xml:space="preserve">13 % y de hematuria microscópica hasta el 2 % de los casos. </w:t>
      </w:r>
      <w:r w:rsidR="00ED3DBB">
        <w:t>(</w:t>
      </w:r>
      <w:r w:rsidR="00ED3DBB" w:rsidRPr="00D40080">
        <w:rPr>
          <w:rFonts w:eastAsia="Calibri"/>
        </w:rPr>
        <w:t xml:space="preserve">Camacho Cruz, Ramírez Torres, Rojas </w:t>
      </w:r>
      <w:proofErr w:type="spellStart"/>
      <w:r w:rsidR="00ED3DBB" w:rsidRPr="00D40080">
        <w:rPr>
          <w:rFonts w:eastAsia="Calibri"/>
        </w:rPr>
        <w:t>Rojas</w:t>
      </w:r>
      <w:proofErr w:type="spellEnd"/>
      <w:r w:rsidR="00ED3DBB" w:rsidRPr="00D40080">
        <w:rPr>
          <w:rFonts w:eastAsia="Calibri"/>
        </w:rPr>
        <w:t xml:space="preserve"> </w:t>
      </w:r>
      <w:r w:rsidR="00ED3DBB">
        <w:rPr>
          <w:rFonts w:eastAsia="Calibri"/>
        </w:rPr>
        <w:t>&amp;</w:t>
      </w:r>
      <w:r w:rsidR="00ED3DBB" w:rsidRPr="00D40080">
        <w:rPr>
          <w:rFonts w:eastAsia="Calibri"/>
        </w:rPr>
        <w:t xml:space="preserve"> Blanco Castro</w:t>
      </w:r>
      <w:r w:rsidR="00ED3DBB">
        <w:rPr>
          <w:rFonts w:eastAsia="Calibri"/>
        </w:rPr>
        <w:t>, 2018)</w:t>
      </w:r>
      <w:r w:rsidR="003A624E" w:rsidRPr="00D40080">
        <w:rPr>
          <w:vertAlign w:val="superscript"/>
        </w:rPr>
        <w:t xml:space="preserve"> </w:t>
      </w:r>
    </w:p>
    <w:p w:rsidR="00AA007A" w:rsidRPr="00D40080" w:rsidRDefault="00AA007A" w:rsidP="00D82C9B">
      <w:pPr>
        <w:spacing w:before="240" w:after="240" w:line="360" w:lineRule="auto"/>
        <w:jc w:val="both"/>
        <w:rPr>
          <w:vertAlign w:val="superscript"/>
        </w:rPr>
      </w:pPr>
      <w:r w:rsidRPr="00D40080">
        <w:t>En la revista médica de Costa Rica en el año 2015 describe que diferentes estudios realizados en  la  población infantil ponen de manifiesto que la incidencia de hematuria microscópica en la p</w:t>
      </w:r>
      <w:r w:rsidR="003A624E" w:rsidRPr="00D40080">
        <w:t>oblación sana oscila entre el 0.5-2% que solo en un 0.</w:t>
      </w:r>
      <w:r w:rsidRPr="00D40080">
        <w:t xml:space="preserve">5% de los casos es persistente y en la mayoría de ellos </w:t>
      </w:r>
      <w:r w:rsidRPr="00D40080">
        <w:lastRenderedPageBreak/>
        <w:t>de naturaleza benigna por lo que no se justifica por ella el cribado de hematuria en la población sana</w:t>
      </w:r>
      <w:r w:rsidR="00ED3DBB">
        <w:t xml:space="preserve"> (</w:t>
      </w:r>
      <w:r w:rsidR="00ED3DBB" w:rsidRPr="00D40080">
        <w:rPr>
          <w:rFonts w:eastAsia="Calibri"/>
        </w:rPr>
        <w:t xml:space="preserve">Chacón Hernández </w:t>
      </w:r>
      <w:r w:rsidR="00ED3DBB">
        <w:rPr>
          <w:rFonts w:eastAsia="Calibri"/>
        </w:rPr>
        <w:t>&amp;</w:t>
      </w:r>
      <w:r w:rsidR="00ED3DBB" w:rsidRPr="00D40080">
        <w:rPr>
          <w:rFonts w:eastAsia="Calibri"/>
        </w:rPr>
        <w:t xml:space="preserve"> Delgado Arguedas</w:t>
      </w:r>
      <w:r w:rsidR="004C661F">
        <w:rPr>
          <w:rFonts w:eastAsia="Calibri"/>
        </w:rPr>
        <w:t xml:space="preserve">, 2015; </w:t>
      </w:r>
      <w:r w:rsidR="004C661F" w:rsidRPr="004C661F">
        <w:rPr>
          <w:rFonts w:eastAsia="Calibri"/>
          <w:noProof/>
        </w:rPr>
        <w:t xml:space="preserve">Schwartz,  Distal,  Shapiro </w:t>
      </w:r>
      <w:r w:rsidR="004C661F">
        <w:rPr>
          <w:rFonts w:eastAsia="Calibri"/>
          <w:noProof/>
        </w:rPr>
        <w:t>&amp;</w:t>
      </w:r>
      <w:r w:rsidR="004C661F" w:rsidRPr="004C661F">
        <w:rPr>
          <w:rFonts w:eastAsia="Calibri"/>
          <w:noProof/>
        </w:rPr>
        <w:t xml:space="preserve">  Waisman</w:t>
      </w:r>
      <w:r w:rsidR="004C661F">
        <w:rPr>
          <w:rFonts w:eastAsia="Calibri"/>
          <w:noProof/>
        </w:rPr>
        <w:t xml:space="preserve">, 2017; </w:t>
      </w:r>
      <w:proofErr w:type="spellStart"/>
      <w:r w:rsidR="004C661F" w:rsidRPr="004C661F">
        <w:t>Lunn</w:t>
      </w:r>
      <w:proofErr w:type="spellEnd"/>
      <w:r w:rsidR="004C661F">
        <w:t xml:space="preserve"> </w:t>
      </w:r>
      <w:r w:rsidR="004C661F">
        <w:rPr>
          <w:rFonts w:eastAsia="Calibri"/>
          <w:noProof/>
        </w:rPr>
        <w:t>&amp;</w:t>
      </w:r>
      <w:r w:rsidR="004C661F" w:rsidRPr="004C661F">
        <w:t xml:space="preserve"> Forbes</w:t>
      </w:r>
      <w:r w:rsidR="004C661F">
        <w:t>, 2012</w:t>
      </w:r>
      <w:r w:rsidR="00E75FD0">
        <w:t>)</w:t>
      </w:r>
      <w:r w:rsidR="004C661F">
        <w:t xml:space="preserve">. </w:t>
      </w:r>
      <w:r w:rsidR="004C661F" w:rsidRPr="004C661F">
        <w:rPr>
          <w:rFonts w:eastAsia="Calibri"/>
          <w:noProof/>
        </w:rPr>
        <w:t xml:space="preserve">  </w:t>
      </w:r>
    </w:p>
    <w:p w:rsidR="00AA007A" w:rsidRPr="00D40080" w:rsidRDefault="00AA007A" w:rsidP="00D82C9B">
      <w:pPr>
        <w:spacing w:before="240" w:after="240" w:line="360" w:lineRule="auto"/>
        <w:jc w:val="both"/>
        <w:rPr>
          <w:rFonts w:eastAsia="Calibri"/>
          <w:vertAlign w:val="superscript"/>
          <w:lang w:eastAsia="en-US"/>
        </w:rPr>
      </w:pPr>
      <w:r w:rsidRPr="00D40080">
        <w:t xml:space="preserve">En la Universidad Autónoma de Nicaragua se realizó un estudio sobre la hematuria en niños menores de 12 años por el Dr. Delgado Pérez, donde afirmó que el grupo etario más frecuente fue de 6 a 11 años a predominio del sexo masculino y de procedencia urbana. El resultado obtenido demostró una incidencia de </w:t>
      </w:r>
      <w:proofErr w:type="spellStart"/>
      <w:r w:rsidRPr="00D40080">
        <w:t>microhematuria</w:t>
      </w:r>
      <w:proofErr w:type="spellEnd"/>
      <w:r w:rsidRPr="00D40080">
        <w:t xml:space="preserve"> persistente de 76.7 por cada 100 niñas</w:t>
      </w:r>
      <w:r w:rsidR="004C661F">
        <w:t xml:space="preserve"> (</w:t>
      </w:r>
      <w:r w:rsidR="004C661F" w:rsidRPr="00D40080">
        <w:rPr>
          <w:rFonts w:eastAsia="Calibri"/>
        </w:rPr>
        <w:t>Delgado Pérez</w:t>
      </w:r>
      <w:r w:rsidR="004C661F">
        <w:rPr>
          <w:rFonts w:eastAsia="Calibri"/>
        </w:rPr>
        <w:t>, 2019)</w:t>
      </w:r>
      <w:r w:rsidR="00E75FD0">
        <w:rPr>
          <w:rFonts w:eastAsia="Calibri"/>
        </w:rPr>
        <w:t>.</w:t>
      </w:r>
    </w:p>
    <w:p w:rsidR="00BD6004" w:rsidRPr="00D40080" w:rsidRDefault="00AA007A" w:rsidP="00D82C9B">
      <w:pPr>
        <w:spacing w:before="240" w:after="240" w:line="360" w:lineRule="auto"/>
        <w:jc w:val="both"/>
        <w:rPr>
          <w:color w:val="FF0000"/>
        </w:rPr>
      </w:pPr>
      <w:r w:rsidRPr="00D40080">
        <w:t>Los pediatras se enfrentan con frecuencia a la presencia de hematuria, por tal motivo deben conocer la pauta de actuación ante el niño y adolescente con hematuria, determinar su gravedad, seleccionar estudios complementarios para una correcta aproximación etiológica y también plantear posibles alternativas terapéuticas</w:t>
      </w:r>
      <w:r w:rsidR="004C661F" w:rsidRPr="004C661F">
        <w:rPr>
          <w:rFonts w:eastAsia="Calibri"/>
        </w:rPr>
        <w:t xml:space="preserve"> </w:t>
      </w:r>
      <w:r w:rsidR="004C661F">
        <w:rPr>
          <w:rFonts w:eastAsia="Calibri"/>
        </w:rPr>
        <w:t>(</w:t>
      </w:r>
      <w:r w:rsidR="004C661F" w:rsidRPr="00D40080">
        <w:rPr>
          <w:rFonts w:eastAsia="Calibri"/>
        </w:rPr>
        <w:t xml:space="preserve">Preciado, Cáceres, Beltrán </w:t>
      </w:r>
      <w:r w:rsidR="004C661F">
        <w:rPr>
          <w:rFonts w:eastAsia="Calibri"/>
        </w:rPr>
        <w:t>&amp;</w:t>
      </w:r>
      <w:r w:rsidR="004C661F" w:rsidRPr="00D40080">
        <w:rPr>
          <w:rFonts w:eastAsia="Calibri"/>
        </w:rPr>
        <w:t xml:space="preserve"> Ortiz</w:t>
      </w:r>
      <w:r w:rsidR="004C661F">
        <w:rPr>
          <w:rFonts w:eastAsia="Calibri"/>
        </w:rPr>
        <w:t>, 2015)</w:t>
      </w:r>
      <w:r w:rsidR="00E75FD0">
        <w:rPr>
          <w:rFonts w:eastAsia="Calibri"/>
        </w:rPr>
        <w:t>.</w:t>
      </w:r>
    </w:p>
    <w:p w:rsidR="00AA007A" w:rsidRDefault="00AA007A" w:rsidP="00D82C9B">
      <w:pPr>
        <w:spacing w:before="240" w:after="240" w:line="360" w:lineRule="auto"/>
        <w:jc w:val="both"/>
      </w:pPr>
      <w:r w:rsidRPr="00D40080">
        <w:t xml:space="preserve">Hasta este momento, la bibliografía consultada y utilizada en la confección de este trabajo fue imposible obtener información del comportamiento a nivel mundial </w:t>
      </w:r>
      <w:r w:rsidR="000A6C69" w:rsidRPr="00D40080">
        <w:t xml:space="preserve">de la </w:t>
      </w:r>
      <w:r w:rsidRPr="00D40080">
        <w:t xml:space="preserve">hematuria, del mismo modo no encontramos estudios realizados en Cuba que nos brinden información sobre la incidencia y el comportamiento de este tema que es tan frecuente en la consulta de Pediatría, por lo que nos motivamos a realizar este trabajo para caracterizar la hematuria en niños ingresados en nuestro centro. </w:t>
      </w:r>
    </w:p>
    <w:p w:rsidR="00AA4208" w:rsidRPr="00D40080" w:rsidRDefault="00AA4208" w:rsidP="00D82C9B">
      <w:pPr>
        <w:spacing w:before="240" w:after="240" w:line="360" w:lineRule="auto"/>
        <w:jc w:val="both"/>
        <w:rPr>
          <w:color w:val="FF0000"/>
        </w:rPr>
      </w:pPr>
      <w:r w:rsidRPr="00E75FD0">
        <w:rPr>
          <w:bCs/>
        </w:rPr>
        <w:t xml:space="preserve">El </w:t>
      </w:r>
      <w:r>
        <w:rPr>
          <w:bCs/>
        </w:rPr>
        <w:t xml:space="preserve">artículo tiene por </w:t>
      </w:r>
      <w:r w:rsidRPr="00E75FD0">
        <w:rPr>
          <w:bCs/>
        </w:rPr>
        <w:t xml:space="preserve">objetivo </w:t>
      </w:r>
      <w:r w:rsidRPr="00E75FD0">
        <w:t>caracterizar la</w:t>
      </w:r>
      <w:r w:rsidRPr="00D40080">
        <w:t xml:space="preserve"> hematuria en pacientes ingresados en el Hospital Provincial Pediátrico Docente ¨General Milanés ¨ durante el año 2020.</w:t>
      </w:r>
    </w:p>
    <w:p w:rsidR="00167FDA" w:rsidRPr="00D40080" w:rsidRDefault="00E75FD0" w:rsidP="00D82C9B">
      <w:pPr>
        <w:spacing w:before="240" w:after="240" w:line="360" w:lineRule="auto"/>
        <w:jc w:val="both"/>
        <w:rPr>
          <w:b/>
        </w:rPr>
      </w:pPr>
      <w:r>
        <w:rPr>
          <w:b/>
        </w:rPr>
        <w:t>Material y métodos</w:t>
      </w:r>
    </w:p>
    <w:p w:rsidR="00167FDA" w:rsidRPr="00D40080" w:rsidRDefault="008F6D90" w:rsidP="00D82C9B">
      <w:pPr>
        <w:spacing w:before="240" w:after="240" w:line="360" w:lineRule="auto"/>
        <w:jc w:val="both"/>
      </w:pPr>
      <w:r w:rsidRPr="00D40080">
        <w:t>Se realizó</w:t>
      </w:r>
      <w:r w:rsidR="00C9742E" w:rsidRPr="00D40080">
        <w:t xml:space="preserve"> un estudio observacional, descriptivo, longitudinal retrospectivo, en el Hospital Provincial Pediátrico Docente ¨General Milanés¨, </w:t>
      </w:r>
      <w:r w:rsidRPr="00D40080">
        <w:t>de los paci</w:t>
      </w:r>
      <w:r w:rsidR="00802F2F" w:rsidRPr="00D40080">
        <w:t>entes que ingresaron con diagnó</w:t>
      </w:r>
      <w:r w:rsidRPr="00D40080">
        <w:t xml:space="preserve">stico de </w:t>
      </w:r>
      <w:r w:rsidR="00802F2F" w:rsidRPr="00D40080">
        <w:t>Hematuria, destinado a caracterizar esta entidad en la población objeto d</w:t>
      </w:r>
      <w:r w:rsidR="00724186" w:rsidRPr="00D40080">
        <w:t>e estudio.</w:t>
      </w:r>
      <w:r w:rsidR="002E733B" w:rsidRPr="00D40080">
        <w:t xml:space="preserve"> </w:t>
      </w:r>
    </w:p>
    <w:p w:rsidR="008F6D90" w:rsidRPr="00D40080" w:rsidRDefault="00E75FD0" w:rsidP="00D82C9B">
      <w:pPr>
        <w:spacing w:before="240" w:after="240" w:line="360" w:lineRule="auto"/>
        <w:jc w:val="both"/>
      </w:pPr>
      <w:r w:rsidRPr="00E75FD0">
        <w:t xml:space="preserve">El </w:t>
      </w:r>
      <w:r>
        <w:t>u</w:t>
      </w:r>
      <w:r w:rsidR="008F6D90" w:rsidRPr="00E75FD0">
        <w:t>niverso de estudio</w:t>
      </w:r>
      <w:r>
        <w:t>, e</w:t>
      </w:r>
      <w:r w:rsidR="008F6D90" w:rsidRPr="00D40080">
        <w:t xml:space="preserve">stuvo constituido por los 86 pacientes ingresados con hematuria </w:t>
      </w:r>
      <w:r w:rsidR="00A06F28" w:rsidRPr="00D40080">
        <w:t xml:space="preserve">macroscópica </w:t>
      </w:r>
      <w:r w:rsidR="008F6D90" w:rsidRPr="00D40080">
        <w:t xml:space="preserve">en el servicio de </w:t>
      </w:r>
      <w:r w:rsidR="007D47CE" w:rsidRPr="00D40080">
        <w:t>clínicas pediátricas</w:t>
      </w:r>
      <w:r w:rsidR="008F6D90" w:rsidRPr="00D40080">
        <w:t xml:space="preserve"> en el Hospital Provincial Pediátrico ¨General Milanés¨ durante el período enero – diciembre de 20</w:t>
      </w:r>
      <w:r w:rsidR="00227118" w:rsidRPr="00D40080">
        <w:t>20</w:t>
      </w:r>
      <w:r w:rsidR="007D47CE" w:rsidRPr="00D40080">
        <w:t>, haciendo coincidir el universo y la muestra.</w:t>
      </w:r>
    </w:p>
    <w:p w:rsidR="00AC22EA" w:rsidRPr="00D40080" w:rsidRDefault="008F6D90" w:rsidP="00D82C9B">
      <w:pPr>
        <w:spacing w:before="240" w:after="240" w:line="360" w:lineRule="auto"/>
        <w:jc w:val="both"/>
        <w:rPr>
          <w:u w:val="single"/>
        </w:rPr>
      </w:pPr>
      <w:r w:rsidRPr="00E75FD0">
        <w:lastRenderedPageBreak/>
        <w:t>Criterios de inclusión:</w:t>
      </w:r>
      <w:r w:rsidRPr="00D40080">
        <w:t xml:space="preserve"> todos los </w:t>
      </w:r>
      <w:r w:rsidR="00802F2F" w:rsidRPr="00D40080">
        <w:t>pacientes</w:t>
      </w:r>
      <w:r w:rsidRPr="00D40080">
        <w:t xml:space="preserve"> ingresados en el servicio de miscelánea en Hospital Provincial Pediátrico ¨General Milanés¨, con el diagnóstico de hematuria durante el período de tiempo citado.</w:t>
      </w:r>
    </w:p>
    <w:p w:rsidR="007D47CE" w:rsidRPr="00AA4208" w:rsidRDefault="008F6D90" w:rsidP="00D82C9B">
      <w:pPr>
        <w:spacing w:before="240" w:after="240" w:line="360" w:lineRule="auto"/>
        <w:jc w:val="both"/>
        <w:rPr>
          <w:u w:val="single"/>
        </w:rPr>
      </w:pPr>
      <w:r w:rsidRPr="00E75FD0">
        <w:t>Criterios de exclusión:</w:t>
      </w:r>
      <w:r w:rsidRPr="00D40080">
        <w:rPr>
          <w:u w:val="single"/>
        </w:rPr>
        <w:t xml:space="preserve"> </w:t>
      </w:r>
      <w:r w:rsidRPr="00D40080">
        <w:t xml:space="preserve">Traslados a otra institución hospitalaria y fallecidos durante el </w:t>
      </w:r>
      <w:r w:rsidRPr="00E75FD0">
        <w:t>período de estudio.</w:t>
      </w:r>
    </w:p>
    <w:tbl>
      <w:tblPr>
        <w:tblW w:w="8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2268"/>
        <w:gridCol w:w="1701"/>
        <w:gridCol w:w="2592"/>
      </w:tblGrid>
      <w:tr w:rsidR="007D47CE" w:rsidRPr="00D40080" w:rsidTr="00D30CF8">
        <w:trPr>
          <w:trHeight w:val="401"/>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Variables</w:t>
            </w:r>
          </w:p>
        </w:tc>
        <w:tc>
          <w:tcPr>
            <w:tcW w:w="2268" w:type="dxa"/>
            <w:shd w:val="clear" w:color="000000" w:fill="FFFFFF"/>
            <w:vAlign w:val="center"/>
          </w:tcPr>
          <w:p w:rsidR="007D47CE" w:rsidRPr="00D82C9B" w:rsidRDefault="007D47CE" w:rsidP="00D82C9B">
            <w:pPr>
              <w:rPr>
                <w:lang w:val="es-ES_tradnl"/>
              </w:rPr>
            </w:pPr>
            <w:r w:rsidRPr="00D82C9B">
              <w:rPr>
                <w:lang w:val="es-ES_tradnl"/>
              </w:rPr>
              <w:t>Tipo de variable</w:t>
            </w:r>
          </w:p>
        </w:tc>
        <w:tc>
          <w:tcPr>
            <w:tcW w:w="1701" w:type="dxa"/>
            <w:shd w:val="clear" w:color="000000" w:fill="FFFFFF"/>
            <w:vAlign w:val="center"/>
          </w:tcPr>
          <w:p w:rsidR="007D47CE" w:rsidRPr="00D82C9B" w:rsidRDefault="007D47CE" w:rsidP="00D82C9B">
            <w:pPr>
              <w:rPr>
                <w:lang w:val="es-ES_tradnl"/>
              </w:rPr>
            </w:pPr>
            <w:r w:rsidRPr="00D82C9B">
              <w:rPr>
                <w:lang w:val="es-ES_tradnl"/>
              </w:rPr>
              <w:t>Descripción</w:t>
            </w:r>
          </w:p>
        </w:tc>
        <w:tc>
          <w:tcPr>
            <w:tcW w:w="2592" w:type="dxa"/>
            <w:shd w:val="clear" w:color="000000" w:fill="FFFFFF"/>
            <w:vAlign w:val="center"/>
          </w:tcPr>
          <w:p w:rsidR="007D47CE" w:rsidRPr="00D82C9B" w:rsidRDefault="007D47CE" w:rsidP="00D82C9B">
            <w:pPr>
              <w:rPr>
                <w:lang w:val="es-ES_tradnl"/>
              </w:rPr>
            </w:pPr>
            <w:r w:rsidRPr="00D82C9B">
              <w:rPr>
                <w:lang w:val="es-ES_tradnl"/>
              </w:rPr>
              <w:t>Escala</w:t>
            </w:r>
          </w:p>
        </w:tc>
      </w:tr>
      <w:tr w:rsidR="007D47CE" w:rsidRPr="00D30CF8" w:rsidTr="00D30CF8">
        <w:trPr>
          <w:trHeight w:val="395"/>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Edad</w:t>
            </w:r>
          </w:p>
        </w:tc>
        <w:tc>
          <w:tcPr>
            <w:tcW w:w="2268" w:type="dxa"/>
            <w:shd w:val="clear" w:color="000000" w:fill="FFFFFF"/>
            <w:vAlign w:val="center"/>
          </w:tcPr>
          <w:p w:rsidR="007D47CE" w:rsidRPr="00D82C9B" w:rsidRDefault="007D47CE" w:rsidP="00D82C9B">
            <w:pPr>
              <w:rPr>
                <w:lang w:val="es-ES_tradnl"/>
              </w:rPr>
            </w:pPr>
            <w:r w:rsidRPr="00D82C9B">
              <w:rPr>
                <w:lang w:val="es-ES_tradnl"/>
              </w:rPr>
              <w:t>Cuantitativa continua</w:t>
            </w:r>
          </w:p>
        </w:tc>
        <w:tc>
          <w:tcPr>
            <w:tcW w:w="1701" w:type="dxa"/>
            <w:shd w:val="clear" w:color="000000" w:fill="FFFFFF"/>
            <w:vAlign w:val="center"/>
          </w:tcPr>
          <w:p w:rsidR="007D47CE" w:rsidRPr="00D82C9B" w:rsidRDefault="007D47CE" w:rsidP="00D82C9B">
            <w:pPr>
              <w:rPr>
                <w:lang w:val="es-ES_tradnl"/>
              </w:rPr>
            </w:pPr>
            <w:r w:rsidRPr="00D82C9B">
              <w:t>Según edad biológica de pertenencia</w:t>
            </w:r>
          </w:p>
        </w:tc>
        <w:tc>
          <w:tcPr>
            <w:tcW w:w="2592" w:type="dxa"/>
            <w:shd w:val="clear" w:color="000000" w:fill="FFFFFF"/>
            <w:vAlign w:val="center"/>
          </w:tcPr>
          <w:p w:rsidR="007D47CE" w:rsidRPr="00D82C9B" w:rsidRDefault="007D47CE" w:rsidP="00D82C9B">
            <w:pPr>
              <w:rPr>
                <w:lang w:val="es-ES_tradnl"/>
              </w:rPr>
            </w:pPr>
            <w:r w:rsidRPr="00D82C9B">
              <w:rPr>
                <w:lang w:val="es-ES_tradnl"/>
              </w:rPr>
              <w:t>&lt; de 1 año</w:t>
            </w:r>
          </w:p>
          <w:p w:rsidR="007D47CE" w:rsidRPr="00D82C9B" w:rsidRDefault="007D47CE" w:rsidP="00D82C9B">
            <w:pPr>
              <w:rPr>
                <w:lang w:val="es-ES_tradnl"/>
              </w:rPr>
            </w:pPr>
            <w:r w:rsidRPr="00D82C9B">
              <w:rPr>
                <w:lang w:val="es-ES_tradnl"/>
              </w:rPr>
              <w:t>1-4 años</w:t>
            </w:r>
          </w:p>
          <w:p w:rsidR="007D47CE" w:rsidRPr="00D82C9B" w:rsidRDefault="00AA007A" w:rsidP="00D82C9B">
            <w:pPr>
              <w:rPr>
                <w:lang w:val="es-ES_tradnl"/>
              </w:rPr>
            </w:pPr>
            <w:r w:rsidRPr="00D82C9B">
              <w:rPr>
                <w:lang w:val="es-ES_tradnl"/>
              </w:rPr>
              <w:t>5-10</w:t>
            </w:r>
            <w:r w:rsidR="007D47CE" w:rsidRPr="00D82C9B">
              <w:rPr>
                <w:lang w:val="es-ES_tradnl"/>
              </w:rPr>
              <w:t xml:space="preserve"> años</w:t>
            </w:r>
          </w:p>
          <w:p w:rsidR="007D47CE" w:rsidRPr="00D82C9B" w:rsidRDefault="00AA007A" w:rsidP="00D82C9B">
            <w:pPr>
              <w:rPr>
                <w:lang w:val="es-ES_tradnl"/>
              </w:rPr>
            </w:pPr>
            <w:r w:rsidRPr="00D82C9B">
              <w:rPr>
                <w:lang w:val="es-ES_tradnl"/>
              </w:rPr>
              <w:t>11</w:t>
            </w:r>
            <w:r w:rsidR="007D47CE" w:rsidRPr="00D82C9B">
              <w:rPr>
                <w:lang w:val="es-ES_tradnl"/>
              </w:rPr>
              <w:t>-14 años</w:t>
            </w:r>
          </w:p>
          <w:p w:rsidR="00AA007A" w:rsidRPr="00D82C9B" w:rsidRDefault="00AA007A" w:rsidP="00D82C9B">
            <w:pPr>
              <w:rPr>
                <w:lang w:val="es-ES_tradnl"/>
              </w:rPr>
            </w:pPr>
            <w:r w:rsidRPr="00D82C9B">
              <w:rPr>
                <w:lang w:val="es-ES_tradnl"/>
              </w:rPr>
              <w:t>˃ 15 años</w:t>
            </w:r>
          </w:p>
        </w:tc>
      </w:tr>
      <w:tr w:rsidR="007D47CE" w:rsidRPr="00D40080" w:rsidTr="00D30CF8">
        <w:trPr>
          <w:trHeight w:val="70"/>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Sexo</w:t>
            </w:r>
          </w:p>
        </w:tc>
        <w:tc>
          <w:tcPr>
            <w:tcW w:w="2268" w:type="dxa"/>
            <w:shd w:val="clear" w:color="000000" w:fill="FFFFFF"/>
            <w:vAlign w:val="center"/>
          </w:tcPr>
          <w:p w:rsidR="007D47CE" w:rsidRPr="00D82C9B" w:rsidRDefault="007D47CE" w:rsidP="00D82C9B">
            <w:pPr>
              <w:rPr>
                <w:lang w:val="es-ES_tradnl"/>
              </w:rPr>
            </w:pPr>
            <w:r w:rsidRPr="00D82C9B">
              <w:rPr>
                <w:lang w:val="es-ES_tradnl"/>
              </w:rPr>
              <w:t>Cualitativa nominal dicotómica</w:t>
            </w:r>
          </w:p>
        </w:tc>
        <w:tc>
          <w:tcPr>
            <w:tcW w:w="1701" w:type="dxa"/>
            <w:shd w:val="clear" w:color="000000" w:fill="FFFFFF"/>
            <w:vAlign w:val="center"/>
          </w:tcPr>
          <w:p w:rsidR="007D47CE" w:rsidRPr="00D82C9B" w:rsidRDefault="007D47CE" w:rsidP="00D82C9B">
            <w:pPr>
              <w:rPr>
                <w:lang w:val="es-ES_tradnl"/>
              </w:rPr>
            </w:pPr>
            <w:r w:rsidRPr="00D82C9B">
              <w:rPr>
                <w:lang w:val="es-ES_tradnl"/>
              </w:rPr>
              <w:t>Según el sexo biológico.</w:t>
            </w:r>
          </w:p>
        </w:tc>
        <w:tc>
          <w:tcPr>
            <w:tcW w:w="2592" w:type="dxa"/>
            <w:shd w:val="clear" w:color="000000" w:fill="FFFFFF"/>
            <w:vAlign w:val="center"/>
          </w:tcPr>
          <w:p w:rsidR="007D47CE" w:rsidRPr="00D82C9B" w:rsidRDefault="007D47CE" w:rsidP="00D82C9B">
            <w:pPr>
              <w:rPr>
                <w:lang w:val="es-ES_tradnl"/>
              </w:rPr>
            </w:pPr>
            <w:r w:rsidRPr="00D82C9B">
              <w:rPr>
                <w:lang w:val="es-ES_tradnl"/>
              </w:rPr>
              <w:t>Femenino</w:t>
            </w:r>
          </w:p>
          <w:p w:rsidR="007D47CE" w:rsidRPr="00D82C9B" w:rsidRDefault="007D47CE" w:rsidP="00D82C9B">
            <w:pPr>
              <w:rPr>
                <w:lang w:val="es-ES_tradnl"/>
              </w:rPr>
            </w:pPr>
            <w:r w:rsidRPr="00D82C9B">
              <w:rPr>
                <w:lang w:val="es-ES_tradnl"/>
              </w:rPr>
              <w:t>Masculino</w:t>
            </w:r>
          </w:p>
        </w:tc>
      </w:tr>
      <w:tr w:rsidR="007D47CE" w:rsidRPr="00D40080" w:rsidTr="00D30CF8">
        <w:trPr>
          <w:trHeight w:val="831"/>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Síntomas y signos.</w:t>
            </w:r>
          </w:p>
        </w:tc>
        <w:tc>
          <w:tcPr>
            <w:tcW w:w="2268" w:type="dxa"/>
            <w:shd w:val="clear" w:color="000000" w:fill="FFFFFF"/>
            <w:vAlign w:val="center"/>
          </w:tcPr>
          <w:p w:rsidR="007D47CE" w:rsidRPr="00D82C9B" w:rsidRDefault="007D47CE" w:rsidP="00D82C9B">
            <w:pPr>
              <w:rPr>
                <w:lang w:val="es-ES_tradnl"/>
              </w:rPr>
            </w:pPr>
            <w:r w:rsidRPr="00D82C9B">
              <w:rPr>
                <w:lang w:val="es-ES_tradnl"/>
              </w:rPr>
              <w:t xml:space="preserve">Cualitativa ordinal </w:t>
            </w:r>
          </w:p>
        </w:tc>
        <w:tc>
          <w:tcPr>
            <w:tcW w:w="1701" w:type="dxa"/>
            <w:shd w:val="clear" w:color="000000" w:fill="FFFFFF"/>
            <w:vAlign w:val="center"/>
          </w:tcPr>
          <w:p w:rsidR="007D47CE" w:rsidRPr="00D82C9B" w:rsidRDefault="007D47CE" w:rsidP="00D82C9B">
            <w:pPr>
              <w:rPr>
                <w:lang w:val="es-ES_tradnl"/>
              </w:rPr>
            </w:pPr>
            <w:r w:rsidRPr="00D82C9B">
              <w:rPr>
                <w:lang w:val="es-ES_tradnl"/>
              </w:rPr>
              <w:t>Según datos recogidos en historia clínica</w:t>
            </w:r>
          </w:p>
        </w:tc>
        <w:tc>
          <w:tcPr>
            <w:tcW w:w="2592" w:type="dxa"/>
            <w:shd w:val="clear" w:color="000000" w:fill="FFFFFF"/>
            <w:vAlign w:val="center"/>
          </w:tcPr>
          <w:p w:rsidR="006C3488" w:rsidRPr="00D82C9B" w:rsidRDefault="006C3488" w:rsidP="00D82C9B">
            <w:pPr>
              <w:rPr>
                <w:lang w:val="es-ES_tradnl"/>
              </w:rPr>
            </w:pPr>
            <w:r w:rsidRPr="00D82C9B">
              <w:rPr>
                <w:lang w:val="es-ES_tradnl"/>
              </w:rPr>
              <w:t>Disuria</w:t>
            </w:r>
          </w:p>
          <w:p w:rsidR="006C3488" w:rsidRPr="00D82C9B" w:rsidRDefault="006C3488" w:rsidP="00D82C9B">
            <w:pPr>
              <w:rPr>
                <w:lang w:val="es-ES_tradnl"/>
              </w:rPr>
            </w:pPr>
            <w:r w:rsidRPr="00D82C9B">
              <w:rPr>
                <w:lang w:val="es-ES_tradnl"/>
              </w:rPr>
              <w:t>Dolor abdominal</w:t>
            </w:r>
          </w:p>
          <w:p w:rsidR="006C3488" w:rsidRPr="00D82C9B" w:rsidRDefault="006C3488" w:rsidP="00D82C9B">
            <w:pPr>
              <w:rPr>
                <w:lang w:val="es-ES_tradnl"/>
              </w:rPr>
            </w:pPr>
            <w:r w:rsidRPr="00D82C9B">
              <w:rPr>
                <w:lang w:val="es-ES_tradnl"/>
              </w:rPr>
              <w:t>Dolor lumbar</w:t>
            </w:r>
          </w:p>
          <w:p w:rsidR="007D47CE" w:rsidRPr="00D82C9B" w:rsidRDefault="007D47CE" w:rsidP="00D82C9B">
            <w:pPr>
              <w:rPr>
                <w:lang w:val="es-ES_tradnl"/>
              </w:rPr>
            </w:pPr>
            <w:r w:rsidRPr="00D82C9B">
              <w:rPr>
                <w:lang w:val="es-ES_tradnl"/>
              </w:rPr>
              <w:t xml:space="preserve">Fiebre </w:t>
            </w:r>
          </w:p>
          <w:p w:rsidR="006C3488" w:rsidRPr="00D82C9B" w:rsidRDefault="006C3488" w:rsidP="00D82C9B">
            <w:pPr>
              <w:rPr>
                <w:lang w:val="es-ES_tradnl"/>
              </w:rPr>
            </w:pPr>
            <w:r w:rsidRPr="00D82C9B">
              <w:rPr>
                <w:lang w:val="es-ES_tradnl"/>
              </w:rPr>
              <w:t>Vómitos</w:t>
            </w:r>
          </w:p>
          <w:p w:rsidR="006C3488" w:rsidRPr="00D82C9B" w:rsidRDefault="006C3488" w:rsidP="00D82C9B">
            <w:pPr>
              <w:rPr>
                <w:lang w:val="es-ES_tradnl"/>
              </w:rPr>
            </w:pPr>
            <w:r w:rsidRPr="00D82C9B">
              <w:rPr>
                <w:lang w:val="es-ES_tradnl"/>
              </w:rPr>
              <w:t>Lesiones en piel</w:t>
            </w:r>
          </w:p>
          <w:p w:rsidR="006C3488" w:rsidRPr="00D82C9B" w:rsidRDefault="006C3488" w:rsidP="00D82C9B">
            <w:pPr>
              <w:rPr>
                <w:lang w:val="es-ES_tradnl"/>
              </w:rPr>
            </w:pPr>
            <w:r w:rsidRPr="00D82C9B">
              <w:rPr>
                <w:lang w:val="es-ES_tradnl"/>
              </w:rPr>
              <w:t>Síntomas respiratorios</w:t>
            </w:r>
          </w:p>
          <w:p w:rsidR="007D47CE" w:rsidRPr="00D82C9B" w:rsidRDefault="007D47CE" w:rsidP="00D82C9B">
            <w:pPr>
              <w:rPr>
                <w:lang w:val="es-ES_tradnl"/>
              </w:rPr>
            </w:pPr>
            <w:r w:rsidRPr="00D82C9B">
              <w:rPr>
                <w:lang w:val="es-ES_tradnl"/>
              </w:rPr>
              <w:t xml:space="preserve">Edemas </w:t>
            </w:r>
          </w:p>
          <w:p w:rsidR="007D47CE" w:rsidRPr="00D82C9B" w:rsidRDefault="006C3488" w:rsidP="00D82C9B">
            <w:pPr>
              <w:rPr>
                <w:lang w:val="es-ES_tradnl"/>
              </w:rPr>
            </w:pPr>
            <w:r w:rsidRPr="00D82C9B">
              <w:rPr>
                <w:lang w:val="es-ES_tradnl"/>
              </w:rPr>
              <w:t>Sin síntomas</w:t>
            </w:r>
          </w:p>
        </w:tc>
      </w:tr>
      <w:tr w:rsidR="007D47CE" w:rsidRPr="00D40080" w:rsidTr="00D30CF8">
        <w:trPr>
          <w:trHeight w:val="70"/>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 xml:space="preserve">Antecedentes patológicos personales </w:t>
            </w:r>
          </w:p>
        </w:tc>
        <w:tc>
          <w:tcPr>
            <w:tcW w:w="2268" w:type="dxa"/>
            <w:shd w:val="clear" w:color="000000" w:fill="FFFFFF"/>
            <w:vAlign w:val="center"/>
          </w:tcPr>
          <w:p w:rsidR="007D47CE" w:rsidRPr="00D82C9B" w:rsidRDefault="007D47CE" w:rsidP="00D82C9B">
            <w:pPr>
              <w:rPr>
                <w:lang w:val="es-ES_tradnl"/>
              </w:rPr>
            </w:pPr>
            <w:r w:rsidRPr="00D82C9B">
              <w:rPr>
                <w:lang w:val="es-ES_tradnl"/>
              </w:rPr>
              <w:t>Cualitativa nominal dicotómica</w:t>
            </w:r>
          </w:p>
        </w:tc>
        <w:tc>
          <w:tcPr>
            <w:tcW w:w="1701" w:type="dxa"/>
            <w:shd w:val="clear" w:color="000000" w:fill="FFFFFF"/>
            <w:vAlign w:val="center"/>
          </w:tcPr>
          <w:p w:rsidR="007D47CE" w:rsidRPr="00D82C9B" w:rsidRDefault="007D47CE" w:rsidP="00D82C9B">
            <w:pPr>
              <w:rPr>
                <w:lang w:val="es-ES_tradnl"/>
              </w:rPr>
            </w:pPr>
            <w:r w:rsidRPr="00D82C9B">
              <w:rPr>
                <w:lang w:val="es-ES_tradnl"/>
              </w:rPr>
              <w:t>Según refiera la madre</w:t>
            </w:r>
          </w:p>
          <w:p w:rsidR="007D47CE" w:rsidRPr="00D82C9B" w:rsidRDefault="007D47CE" w:rsidP="00D82C9B">
            <w:pPr>
              <w:rPr>
                <w:lang w:val="es-ES_tradnl"/>
              </w:rPr>
            </w:pPr>
          </w:p>
        </w:tc>
        <w:tc>
          <w:tcPr>
            <w:tcW w:w="2592" w:type="dxa"/>
            <w:shd w:val="clear" w:color="000000" w:fill="FFFFFF"/>
            <w:vAlign w:val="center"/>
          </w:tcPr>
          <w:p w:rsidR="007D47CE" w:rsidRPr="00D82C9B" w:rsidRDefault="007D47CE" w:rsidP="00D82C9B">
            <w:pPr>
              <w:rPr>
                <w:lang w:val="es-ES_tradnl"/>
              </w:rPr>
            </w:pPr>
            <w:r w:rsidRPr="00D82C9B">
              <w:rPr>
                <w:lang w:val="es-ES_tradnl"/>
              </w:rPr>
              <w:t xml:space="preserve">Sí </w:t>
            </w:r>
          </w:p>
          <w:p w:rsidR="007D47CE" w:rsidRPr="00D82C9B" w:rsidRDefault="007D47CE" w:rsidP="00D82C9B">
            <w:pPr>
              <w:rPr>
                <w:lang w:val="es-ES_tradnl"/>
              </w:rPr>
            </w:pPr>
            <w:r w:rsidRPr="00D82C9B">
              <w:rPr>
                <w:lang w:val="es-ES_tradnl"/>
              </w:rPr>
              <w:t>No</w:t>
            </w:r>
          </w:p>
        </w:tc>
      </w:tr>
      <w:tr w:rsidR="007D47CE" w:rsidRPr="00D40080" w:rsidTr="00D30CF8">
        <w:trPr>
          <w:trHeight w:val="143"/>
          <w:jc w:val="center"/>
        </w:trPr>
        <w:tc>
          <w:tcPr>
            <w:tcW w:w="1842" w:type="dxa"/>
            <w:shd w:val="clear" w:color="000000" w:fill="FFFFFF"/>
            <w:vAlign w:val="center"/>
          </w:tcPr>
          <w:p w:rsidR="007D47CE" w:rsidRPr="00D82C9B" w:rsidRDefault="007D47CE" w:rsidP="00D82C9B">
            <w:pPr>
              <w:rPr>
                <w:lang w:val="es-ES_tradnl"/>
              </w:rPr>
            </w:pPr>
            <w:r w:rsidRPr="00D82C9B">
              <w:rPr>
                <w:lang w:val="es-ES_tradnl"/>
              </w:rPr>
              <w:t>Antecedentes patológicos familiares</w:t>
            </w:r>
          </w:p>
        </w:tc>
        <w:tc>
          <w:tcPr>
            <w:tcW w:w="2268" w:type="dxa"/>
            <w:shd w:val="clear" w:color="000000" w:fill="FFFFFF"/>
            <w:vAlign w:val="center"/>
          </w:tcPr>
          <w:p w:rsidR="007D47CE" w:rsidRPr="00D82C9B" w:rsidRDefault="007D47CE" w:rsidP="00D82C9B">
            <w:pPr>
              <w:rPr>
                <w:lang w:val="es-ES_tradnl"/>
              </w:rPr>
            </w:pPr>
            <w:r w:rsidRPr="00D82C9B">
              <w:rPr>
                <w:lang w:val="es-ES_tradnl"/>
              </w:rPr>
              <w:t>Cualitativa nominal dicotómica</w:t>
            </w:r>
          </w:p>
        </w:tc>
        <w:tc>
          <w:tcPr>
            <w:tcW w:w="1701" w:type="dxa"/>
            <w:shd w:val="clear" w:color="000000" w:fill="FFFFFF"/>
            <w:vAlign w:val="center"/>
          </w:tcPr>
          <w:p w:rsidR="007D47CE" w:rsidRPr="00D82C9B" w:rsidRDefault="007D47CE" w:rsidP="00D82C9B">
            <w:pPr>
              <w:rPr>
                <w:lang w:val="es-ES_tradnl"/>
              </w:rPr>
            </w:pPr>
            <w:r w:rsidRPr="00D82C9B">
              <w:rPr>
                <w:lang w:val="es-ES_tradnl"/>
              </w:rPr>
              <w:t xml:space="preserve">Según refiera la madre </w:t>
            </w:r>
          </w:p>
        </w:tc>
        <w:tc>
          <w:tcPr>
            <w:tcW w:w="2592" w:type="dxa"/>
            <w:shd w:val="clear" w:color="000000" w:fill="FFFFFF"/>
            <w:vAlign w:val="center"/>
          </w:tcPr>
          <w:p w:rsidR="007D47CE" w:rsidRPr="00D82C9B" w:rsidRDefault="007D47CE" w:rsidP="00D82C9B">
            <w:pPr>
              <w:rPr>
                <w:lang w:val="es-ES_tradnl"/>
              </w:rPr>
            </w:pPr>
            <w:r w:rsidRPr="00D82C9B">
              <w:rPr>
                <w:lang w:val="es-ES_tradnl"/>
              </w:rPr>
              <w:t>Si</w:t>
            </w:r>
          </w:p>
          <w:p w:rsidR="007D47CE" w:rsidRPr="00D82C9B" w:rsidRDefault="007D47CE" w:rsidP="00D82C9B">
            <w:pPr>
              <w:rPr>
                <w:lang w:val="es-ES_tradnl"/>
              </w:rPr>
            </w:pPr>
            <w:r w:rsidRPr="00D82C9B">
              <w:rPr>
                <w:lang w:val="es-ES_tradnl"/>
              </w:rPr>
              <w:t>No</w:t>
            </w:r>
          </w:p>
        </w:tc>
      </w:tr>
      <w:tr w:rsidR="007D47CE" w:rsidRPr="00D40080" w:rsidTr="00D30CF8">
        <w:trPr>
          <w:trHeight w:val="1791"/>
          <w:jc w:val="center"/>
        </w:trPr>
        <w:tc>
          <w:tcPr>
            <w:tcW w:w="1842" w:type="dxa"/>
            <w:shd w:val="clear" w:color="000000" w:fill="FFFFFF"/>
            <w:vAlign w:val="center"/>
          </w:tcPr>
          <w:p w:rsidR="007D47CE" w:rsidRPr="00D82C9B" w:rsidRDefault="00590D28" w:rsidP="00D82C9B">
            <w:pPr>
              <w:rPr>
                <w:lang w:val="es-ES_tradnl"/>
              </w:rPr>
            </w:pPr>
            <w:r w:rsidRPr="00D82C9B">
              <w:t>Diagnóstico definitivo al egreso</w:t>
            </w:r>
          </w:p>
        </w:tc>
        <w:tc>
          <w:tcPr>
            <w:tcW w:w="2268" w:type="dxa"/>
            <w:shd w:val="clear" w:color="000000" w:fill="FFFFFF"/>
            <w:vAlign w:val="center"/>
          </w:tcPr>
          <w:p w:rsidR="007D47CE" w:rsidRPr="00D82C9B" w:rsidRDefault="007D47CE" w:rsidP="00D82C9B">
            <w:pPr>
              <w:rPr>
                <w:lang w:val="es-ES_tradnl"/>
              </w:rPr>
            </w:pPr>
            <w:r w:rsidRPr="00D82C9B">
              <w:rPr>
                <w:lang w:val="es-ES_tradnl"/>
              </w:rPr>
              <w:t xml:space="preserve">Cualitativa nominal </w:t>
            </w:r>
            <w:proofErr w:type="spellStart"/>
            <w:r w:rsidRPr="00D82C9B">
              <w:rPr>
                <w:lang w:val="es-ES_tradnl"/>
              </w:rPr>
              <w:t>politómica</w:t>
            </w:r>
            <w:proofErr w:type="spellEnd"/>
          </w:p>
        </w:tc>
        <w:tc>
          <w:tcPr>
            <w:tcW w:w="1701" w:type="dxa"/>
            <w:shd w:val="clear" w:color="000000" w:fill="FFFFFF"/>
            <w:vAlign w:val="center"/>
          </w:tcPr>
          <w:p w:rsidR="007D47CE" w:rsidRPr="00D82C9B" w:rsidRDefault="007D47CE" w:rsidP="00D82C9B">
            <w:pPr>
              <w:rPr>
                <w:lang w:val="es-ES_tradnl"/>
              </w:rPr>
            </w:pPr>
            <w:r w:rsidRPr="00D82C9B">
              <w:rPr>
                <w:lang w:val="es-ES_tradnl"/>
              </w:rPr>
              <w:t>Según datos recogidos en historia clínica</w:t>
            </w:r>
          </w:p>
        </w:tc>
        <w:tc>
          <w:tcPr>
            <w:tcW w:w="2592" w:type="dxa"/>
            <w:shd w:val="clear" w:color="000000" w:fill="FFFFFF"/>
            <w:vAlign w:val="center"/>
          </w:tcPr>
          <w:p w:rsidR="007D47CE" w:rsidRPr="00D82C9B" w:rsidRDefault="00D73AD8" w:rsidP="00D82C9B">
            <w:pPr>
              <w:rPr>
                <w:lang w:val="es-ES_tradnl"/>
              </w:rPr>
            </w:pPr>
            <w:r w:rsidRPr="00D82C9B">
              <w:rPr>
                <w:lang w:val="es-ES_tradnl"/>
              </w:rPr>
              <w:t>Hematuria no glomerular</w:t>
            </w:r>
          </w:p>
          <w:p w:rsidR="00D73AD8" w:rsidRPr="00D82C9B" w:rsidRDefault="00D73AD8" w:rsidP="00D82C9B">
            <w:pPr>
              <w:rPr>
                <w:lang w:val="es-ES_tradnl"/>
              </w:rPr>
            </w:pPr>
            <w:r w:rsidRPr="00D82C9B">
              <w:rPr>
                <w:lang w:val="es-ES_tradnl"/>
              </w:rPr>
              <w:t xml:space="preserve">Nefropatía por </w:t>
            </w:r>
            <w:proofErr w:type="spellStart"/>
            <w:r w:rsidRPr="00D82C9B">
              <w:rPr>
                <w:lang w:val="es-ES_tradnl"/>
              </w:rPr>
              <w:t>IgA</w:t>
            </w:r>
            <w:proofErr w:type="spellEnd"/>
          </w:p>
          <w:p w:rsidR="00D73AD8" w:rsidRPr="00D82C9B" w:rsidRDefault="00D73AD8" w:rsidP="00D82C9B">
            <w:pPr>
              <w:rPr>
                <w:lang w:val="es-ES_tradnl"/>
              </w:rPr>
            </w:pPr>
            <w:r w:rsidRPr="00D82C9B">
              <w:rPr>
                <w:lang w:val="es-ES_tradnl"/>
              </w:rPr>
              <w:t>Litiasis</w:t>
            </w:r>
          </w:p>
          <w:p w:rsidR="00D73AD8" w:rsidRPr="00D82C9B" w:rsidRDefault="00D73AD8" w:rsidP="00D82C9B">
            <w:pPr>
              <w:rPr>
                <w:lang w:val="es-ES_tradnl"/>
              </w:rPr>
            </w:pPr>
            <w:r w:rsidRPr="00D82C9B">
              <w:rPr>
                <w:lang w:val="es-ES_tradnl"/>
              </w:rPr>
              <w:t>Post traumática</w:t>
            </w:r>
          </w:p>
          <w:p w:rsidR="00D73AD8" w:rsidRPr="00D82C9B" w:rsidRDefault="00D73AD8" w:rsidP="00D82C9B">
            <w:pPr>
              <w:rPr>
                <w:lang w:val="es-ES_tradnl"/>
              </w:rPr>
            </w:pPr>
            <w:r w:rsidRPr="00D82C9B">
              <w:rPr>
                <w:lang w:val="es-ES_tradnl"/>
              </w:rPr>
              <w:t>Infección del tracto Urinario</w:t>
            </w:r>
          </w:p>
          <w:p w:rsidR="00D73AD8" w:rsidRPr="00D82C9B" w:rsidRDefault="00D73AD8" w:rsidP="00D82C9B">
            <w:pPr>
              <w:rPr>
                <w:lang w:val="es-ES_tradnl"/>
              </w:rPr>
            </w:pPr>
            <w:r w:rsidRPr="00D82C9B">
              <w:rPr>
                <w:lang w:val="es-ES_tradnl"/>
              </w:rPr>
              <w:t xml:space="preserve">Síndrome de </w:t>
            </w:r>
            <w:proofErr w:type="spellStart"/>
            <w:r w:rsidRPr="00D82C9B">
              <w:rPr>
                <w:lang w:val="es-ES_tradnl"/>
              </w:rPr>
              <w:t>Alport</w:t>
            </w:r>
            <w:proofErr w:type="spellEnd"/>
          </w:p>
          <w:p w:rsidR="007D47CE" w:rsidRPr="00D82C9B" w:rsidRDefault="00D73AD8" w:rsidP="00D82C9B">
            <w:pPr>
              <w:rPr>
                <w:lang w:val="es-ES_tradnl"/>
              </w:rPr>
            </w:pPr>
            <w:proofErr w:type="spellStart"/>
            <w:r w:rsidRPr="00D82C9B">
              <w:rPr>
                <w:lang w:val="es-ES_tradnl"/>
              </w:rPr>
              <w:t>Sicklemia</w:t>
            </w:r>
            <w:proofErr w:type="spellEnd"/>
          </w:p>
        </w:tc>
      </w:tr>
    </w:tbl>
    <w:p w:rsidR="00AA4208" w:rsidRPr="00E75FD0" w:rsidRDefault="00B37963" w:rsidP="00D82C9B">
      <w:pPr>
        <w:spacing w:before="240" w:after="240" w:line="360" w:lineRule="auto"/>
        <w:jc w:val="center"/>
        <w:rPr>
          <w:lang w:val="es-ES_tradnl"/>
        </w:rPr>
      </w:pPr>
      <w:r>
        <w:rPr>
          <w:lang w:val="es-ES_tradnl"/>
        </w:rPr>
        <w:t>Tabla 1</w:t>
      </w:r>
      <w:r w:rsidR="00D82C9B">
        <w:rPr>
          <w:lang w:val="es-ES_tradnl"/>
        </w:rPr>
        <w:t xml:space="preserve">. </w:t>
      </w:r>
      <w:r>
        <w:rPr>
          <w:lang w:val="es-ES_tradnl"/>
        </w:rPr>
        <w:t>Variables del estudio.</w:t>
      </w:r>
    </w:p>
    <w:p w:rsidR="00802F2F" w:rsidRPr="00D40080" w:rsidRDefault="00133082" w:rsidP="00D82C9B">
      <w:pPr>
        <w:pStyle w:val="Default"/>
        <w:spacing w:before="240" w:after="240" w:line="360" w:lineRule="auto"/>
        <w:jc w:val="both"/>
        <w:rPr>
          <w:rFonts w:ascii="Times New Roman" w:hAnsi="Times New Roman" w:cs="Times New Roman"/>
        </w:rPr>
      </w:pPr>
      <w:r w:rsidRPr="00E75FD0">
        <w:rPr>
          <w:rFonts w:ascii="Times New Roman" w:hAnsi="Times New Roman" w:cs="Times New Roman"/>
          <w:bCs/>
        </w:rPr>
        <w:t>Procesamiento/recolección y manejo de los datos</w:t>
      </w:r>
      <w:r w:rsidR="00E75FD0">
        <w:rPr>
          <w:rFonts w:ascii="Times New Roman" w:hAnsi="Times New Roman" w:cs="Times New Roman"/>
          <w:bCs/>
        </w:rPr>
        <w:t xml:space="preserve">, para </w:t>
      </w:r>
      <w:r w:rsidR="00802F2F" w:rsidRPr="00D40080">
        <w:rPr>
          <w:rFonts w:ascii="Times New Roman" w:hAnsi="Times New Roman" w:cs="Times New Roman"/>
        </w:rPr>
        <w:t xml:space="preserve">tener una visión global del objeto de estudio se decidieron por la pluralidad metodológica empleándose métodos de los niveles empíricos y teóricos generales, que permitieron guiar el proceso de construcción del conocimiento científico, de </w:t>
      </w:r>
      <w:r w:rsidR="00802F2F" w:rsidRPr="00D40080">
        <w:rPr>
          <w:rFonts w:ascii="Times New Roman" w:hAnsi="Times New Roman" w:cs="Times New Roman"/>
        </w:rPr>
        <w:lastRenderedPageBreak/>
        <w:t>acuerdo con las tareas de investigación propuestas. Ellos se concretan en observación no estructurada, medición; métodos de análisis-síntesis e inducción-deducción,  estudio documental, la lógica formal; matemático – estadí</w:t>
      </w:r>
      <w:r w:rsidR="00590D28" w:rsidRPr="00D40080">
        <w:rPr>
          <w:rFonts w:ascii="Times New Roman" w:hAnsi="Times New Roman" w:cs="Times New Roman"/>
        </w:rPr>
        <w:t>sticos, estadística descriptiva</w:t>
      </w:r>
      <w:r w:rsidR="00802F2F" w:rsidRPr="00D40080">
        <w:rPr>
          <w:rFonts w:ascii="Times New Roman" w:hAnsi="Times New Roman" w:cs="Times New Roman"/>
        </w:rPr>
        <w:t>. También se utilizaron métodos de las Ciencias Médicas -el clínico o científico particular de la profesión médica con la singularidad- al ocuparse no solo de la atención individual, sino de la colectividad y el ambiente- denominado clínico-epidemiológico.</w:t>
      </w:r>
    </w:p>
    <w:p w:rsidR="00167FDA" w:rsidRPr="00D40080" w:rsidRDefault="00167FDA" w:rsidP="00D82C9B">
      <w:pPr>
        <w:spacing w:before="240" w:after="240" w:line="360" w:lineRule="auto"/>
        <w:jc w:val="both"/>
      </w:pPr>
      <w:r w:rsidRPr="00D40080">
        <w:t>La recogid</w:t>
      </w:r>
      <w:r w:rsidR="00133082" w:rsidRPr="00D40080">
        <w:t>a de la información se realizó</w:t>
      </w:r>
      <w:r w:rsidRPr="00D40080">
        <w:t xml:space="preserve"> a través de todas las historias clínicas de los niños ingresados por hematuria teniendo en cuenta las siguientes variables: edad, sexo, tipos de hematuria, síntomas y signos acompañantes, antecedentes familiares y personales y el diagnóstico definitivo al egreso.</w:t>
      </w:r>
    </w:p>
    <w:p w:rsidR="00802F2F" w:rsidRPr="00D40080" w:rsidRDefault="00802F2F" w:rsidP="00D82C9B">
      <w:pPr>
        <w:spacing w:before="240" w:after="240" w:line="360" w:lineRule="auto"/>
        <w:jc w:val="both"/>
        <w:rPr>
          <w:u w:val="single"/>
        </w:rPr>
      </w:pPr>
      <w:r w:rsidRPr="00D40080">
        <w:t>Todos los datos fueron registrados manualmente en el formulario que sirvió de soporte para la preparación de la hoja de cálculos en Excel, los mismos fueron revisados para detectar errores, omisiones, protegidos y verificados para comprobar su validez y confiabilidad y luego procesados automáticamente con la opción de l</w:t>
      </w:r>
      <w:r w:rsidR="00590D28" w:rsidRPr="00D40080">
        <w:t xml:space="preserve">as tablas y gráficos dinámicos que </w:t>
      </w:r>
      <w:r w:rsidRPr="00D40080">
        <w:t>facilitaron su interpretación. Se emplearon las medidas estadísticas descriptiv</w:t>
      </w:r>
      <w:r w:rsidR="007D47CE" w:rsidRPr="00D40080">
        <w:t>as (porciento)</w:t>
      </w:r>
      <w:r w:rsidRPr="00D40080">
        <w:t xml:space="preserve"> para el resumen de las variables cuantitativas continuas a través </w:t>
      </w:r>
      <w:r w:rsidR="00E75FD0" w:rsidRPr="00D40080">
        <w:t xml:space="preserve">de la opción de análisis de datos dentro de herramientas </w:t>
      </w:r>
      <w:proofErr w:type="spellStart"/>
      <w:r w:rsidR="00E75FD0" w:rsidRPr="00D40080">
        <w:t>excel</w:t>
      </w:r>
      <w:proofErr w:type="spellEnd"/>
      <w:r w:rsidR="00E75FD0" w:rsidRPr="00D40080">
        <w:t>.</w:t>
      </w:r>
    </w:p>
    <w:p w:rsidR="00C9742E" w:rsidRPr="00D40080" w:rsidRDefault="00E75FD0" w:rsidP="00D82C9B">
      <w:pPr>
        <w:spacing w:before="240" w:after="240" w:line="360" w:lineRule="auto"/>
        <w:jc w:val="both"/>
        <w:rPr>
          <w:b/>
        </w:rPr>
      </w:pPr>
      <w:r w:rsidRPr="00D40080">
        <w:rPr>
          <w:b/>
        </w:rPr>
        <w:t>Resultados</w:t>
      </w:r>
    </w:p>
    <w:p w:rsidR="00267357" w:rsidRPr="00E75FD0" w:rsidRDefault="008657DB" w:rsidP="00D82C9B">
      <w:pPr>
        <w:spacing w:before="240" w:after="240" w:line="360" w:lineRule="auto"/>
        <w:jc w:val="both"/>
        <w:rPr>
          <w:rFonts w:eastAsiaTheme="minorHAnsi"/>
          <w:lang w:eastAsia="en-US"/>
        </w:rPr>
      </w:pPr>
      <w:r w:rsidRPr="00D40080">
        <w:rPr>
          <w:rFonts w:eastAsiaTheme="minorHAnsi"/>
          <w:lang w:eastAsia="en-US"/>
        </w:rPr>
        <w:t>En la tabla 1 se analizó la edad de los pacientes con hematuria, en el estudio se observó que predominaron los niños entre 5 y 9 años para un 46.02%.</w:t>
      </w:r>
    </w:p>
    <w:tbl>
      <w:tblPr>
        <w:tblStyle w:val="Tablaconcuadrcula"/>
        <w:tblW w:w="0" w:type="auto"/>
        <w:jc w:val="center"/>
        <w:tblLook w:val="04A0" w:firstRow="1" w:lastRow="0" w:firstColumn="1" w:lastColumn="0" w:noHBand="0" w:noVBand="1"/>
      </w:tblPr>
      <w:tblGrid>
        <w:gridCol w:w="1544"/>
        <w:gridCol w:w="1276"/>
        <w:gridCol w:w="1276"/>
      </w:tblGrid>
      <w:tr w:rsidR="00D6324B" w:rsidRPr="00D82C9B" w:rsidTr="00D82C9B">
        <w:trPr>
          <w:jc w:val="center"/>
        </w:trPr>
        <w:tc>
          <w:tcPr>
            <w:tcW w:w="1544" w:type="dxa"/>
          </w:tcPr>
          <w:p w:rsidR="00D6324B" w:rsidRPr="00D82C9B" w:rsidRDefault="00D6324B" w:rsidP="00D82C9B">
            <w:r w:rsidRPr="00D82C9B">
              <w:t>Edad</w:t>
            </w:r>
          </w:p>
        </w:tc>
        <w:tc>
          <w:tcPr>
            <w:tcW w:w="1276" w:type="dxa"/>
          </w:tcPr>
          <w:p w:rsidR="00D6324B" w:rsidRPr="00D82C9B" w:rsidRDefault="00D6324B" w:rsidP="00D82C9B">
            <w:r w:rsidRPr="00D82C9B">
              <w:t>No</w:t>
            </w:r>
          </w:p>
        </w:tc>
        <w:tc>
          <w:tcPr>
            <w:tcW w:w="1276" w:type="dxa"/>
          </w:tcPr>
          <w:p w:rsidR="00D6324B" w:rsidRPr="00D82C9B" w:rsidRDefault="00D6324B" w:rsidP="00D82C9B">
            <w:r w:rsidRPr="00D82C9B">
              <w:t>%</w:t>
            </w:r>
          </w:p>
        </w:tc>
      </w:tr>
      <w:tr w:rsidR="00D6324B" w:rsidRPr="00D82C9B" w:rsidTr="00D82C9B">
        <w:trPr>
          <w:jc w:val="center"/>
        </w:trPr>
        <w:tc>
          <w:tcPr>
            <w:tcW w:w="1544" w:type="dxa"/>
          </w:tcPr>
          <w:p w:rsidR="00D6324B" w:rsidRPr="00D82C9B" w:rsidRDefault="00C420A2" w:rsidP="00D82C9B">
            <w:r w:rsidRPr="00D82C9B">
              <w:t>&lt; 1 año</w:t>
            </w:r>
          </w:p>
        </w:tc>
        <w:tc>
          <w:tcPr>
            <w:tcW w:w="1276" w:type="dxa"/>
          </w:tcPr>
          <w:p w:rsidR="00D6324B" w:rsidRPr="00D82C9B" w:rsidRDefault="00C420A2" w:rsidP="00D82C9B">
            <w:r w:rsidRPr="00D82C9B">
              <w:t>0</w:t>
            </w:r>
          </w:p>
        </w:tc>
        <w:tc>
          <w:tcPr>
            <w:tcW w:w="1276" w:type="dxa"/>
          </w:tcPr>
          <w:p w:rsidR="00D6324B" w:rsidRPr="00D82C9B" w:rsidRDefault="00D6324B" w:rsidP="00D82C9B"/>
        </w:tc>
      </w:tr>
      <w:tr w:rsidR="00D6324B" w:rsidRPr="00D82C9B" w:rsidTr="00D82C9B">
        <w:trPr>
          <w:jc w:val="center"/>
        </w:trPr>
        <w:tc>
          <w:tcPr>
            <w:tcW w:w="1544" w:type="dxa"/>
          </w:tcPr>
          <w:p w:rsidR="00D6324B" w:rsidRPr="00D82C9B" w:rsidRDefault="00C420A2" w:rsidP="00D82C9B">
            <w:r w:rsidRPr="00D82C9B">
              <w:t>1 – 4 años</w:t>
            </w:r>
          </w:p>
        </w:tc>
        <w:tc>
          <w:tcPr>
            <w:tcW w:w="1276" w:type="dxa"/>
          </w:tcPr>
          <w:p w:rsidR="00D6324B" w:rsidRPr="00D82C9B" w:rsidRDefault="00C420A2" w:rsidP="00D82C9B">
            <w:r w:rsidRPr="00D82C9B">
              <w:t>15</w:t>
            </w:r>
          </w:p>
        </w:tc>
        <w:tc>
          <w:tcPr>
            <w:tcW w:w="1276" w:type="dxa"/>
          </w:tcPr>
          <w:p w:rsidR="00D6324B" w:rsidRPr="00D82C9B" w:rsidRDefault="00C420A2" w:rsidP="00D82C9B">
            <w:r w:rsidRPr="00D82C9B">
              <w:t>17.44%</w:t>
            </w:r>
          </w:p>
        </w:tc>
      </w:tr>
      <w:tr w:rsidR="00D6324B" w:rsidRPr="00D82C9B" w:rsidTr="00D82C9B">
        <w:trPr>
          <w:jc w:val="center"/>
        </w:trPr>
        <w:tc>
          <w:tcPr>
            <w:tcW w:w="1544" w:type="dxa"/>
          </w:tcPr>
          <w:p w:rsidR="00D6324B" w:rsidRPr="00D82C9B" w:rsidRDefault="00DE5F3F" w:rsidP="00D82C9B">
            <w:r w:rsidRPr="00D82C9B">
              <w:t>5 – 10</w:t>
            </w:r>
            <w:r w:rsidR="00C420A2" w:rsidRPr="00D82C9B">
              <w:t xml:space="preserve"> años</w:t>
            </w:r>
          </w:p>
        </w:tc>
        <w:tc>
          <w:tcPr>
            <w:tcW w:w="1276" w:type="dxa"/>
          </w:tcPr>
          <w:p w:rsidR="00D6324B" w:rsidRPr="00D82C9B" w:rsidRDefault="00C420A2" w:rsidP="00D82C9B">
            <w:r w:rsidRPr="00D82C9B">
              <w:t>37</w:t>
            </w:r>
          </w:p>
        </w:tc>
        <w:tc>
          <w:tcPr>
            <w:tcW w:w="1276" w:type="dxa"/>
          </w:tcPr>
          <w:p w:rsidR="00D6324B" w:rsidRPr="00D82C9B" w:rsidRDefault="00DE5F3F" w:rsidP="00D82C9B">
            <w:r w:rsidRPr="00D82C9B">
              <w:t>46.</w:t>
            </w:r>
            <w:r w:rsidR="00C420A2" w:rsidRPr="00D82C9B">
              <w:t>02%</w:t>
            </w:r>
          </w:p>
        </w:tc>
      </w:tr>
      <w:tr w:rsidR="00D6324B" w:rsidRPr="00D82C9B" w:rsidTr="00D82C9B">
        <w:trPr>
          <w:jc w:val="center"/>
        </w:trPr>
        <w:tc>
          <w:tcPr>
            <w:tcW w:w="1544" w:type="dxa"/>
          </w:tcPr>
          <w:p w:rsidR="00D6324B" w:rsidRPr="00D82C9B" w:rsidRDefault="00DE5F3F" w:rsidP="00D82C9B">
            <w:r w:rsidRPr="00D82C9B">
              <w:t>11</w:t>
            </w:r>
            <w:r w:rsidR="00C420A2" w:rsidRPr="00D82C9B">
              <w:t xml:space="preserve"> – 14 años</w:t>
            </w:r>
          </w:p>
        </w:tc>
        <w:tc>
          <w:tcPr>
            <w:tcW w:w="1276" w:type="dxa"/>
          </w:tcPr>
          <w:p w:rsidR="00D6324B" w:rsidRPr="00D82C9B" w:rsidRDefault="00C420A2" w:rsidP="00D82C9B">
            <w:r w:rsidRPr="00D82C9B">
              <w:t>28</w:t>
            </w:r>
          </w:p>
        </w:tc>
        <w:tc>
          <w:tcPr>
            <w:tcW w:w="1276" w:type="dxa"/>
          </w:tcPr>
          <w:p w:rsidR="00D6324B" w:rsidRPr="00D82C9B" w:rsidRDefault="00C420A2" w:rsidP="00D82C9B">
            <w:r w:rsidRPr="00D82C9B">
              <w:t>32.55%</w:t>
            </w:r>
          </w:p>
        </w:tc>
      </w:tr>
      <w:tr w:rsidR="00C420A2" w:rsidRPr="00D82C9B" w:rsidTr="00D82C9B">
        <w:trPr>
          <w:jc w:val="center"/>
        </w:trPr>
        <w:tc>
          <w:tcPr>
            <w:tcW w:w="1544" w:type="dxa"/>
          </w:tcPr>
          <w:p w:rsidR="00C420A2" w:rsidRPr="00D82C9B" w:rsidRDefault="00AA007A" w:rsidP="00D82C9B">
            <w:r w:rsidRPr="00D82C9B">
              <w:t>˃</w:t>
            </w:r>
            <w:r w:rsidR="00C420A2" w:rsidRPr="00D82C9B">
              <w:t>15 años</w:t>
            </w:r>
          </w:p>
        </w:tc>
        <w:tc>
          <w:tcPr>
            <w:tcW w:w="1276" w:type="dxa"/>
          </w:tcPr>
          <w:p w:rsidR="00C420A2" w:rsidRPr="00D82C9B" w:rsidRDefault="00C420A2" w:rsidP="00D82C9B">
            <w:r w:rsidRPr="00D82C9B">
              <w:t>6</w:t>
            </w:r>
          </w:p>
        </w:tc>
        <w:tc>
          <w:tcPr>
            <w:tcW w:w="1276" w:type="dxa"/>
          </w:tcPr>
          <w:p w:rsidR="00C420A2" w:rsidRPr="00D82C9B" w:rsidRDefault="00C420A2" w:rsidP="00D82C9B">
            <w:r w:rsidRPr="00D82C9B">
              <w:t>6.97%</w:t>
            </w:r>
          </w:p>
        </w:tc>
      </w:tr>
    </w:tbl>
    <w:p w:rsidR="00E75FD0" w:rsidRDefault="00E75FD0" w:rsidP="00D82C9B">
      <w:pPr>
        <w:spacing w:before="240" w:after="240" w:line="360" w:lineRule="auto"/>
        <w:jc w:val="center"/>
      </w:pPr>
      <w:r>
        <w:rPr>
          <w:rFonts w:eastAsiaTheme="minorHAnsi"/>
          <w:lang w:eastAsia="en-US"/>
        </w:rPr>
        <w:t>T</w:t>
      </w:r>
      <w:r w:rsidRPr="00D40080">
        <w:rPr>
          <w:rFonts w:eastAsiaTheme="minorHAnsi"/>
          <w:lang w:eastAsia="en-US"/>
        </w:rPr>
        <w:t>abla 1</w:t>
      </w:r>
      <w:r w:rsidR="00D82C9B">
        <w:rPr>
          <w:rFonts w:eastAsiaTheme="minorHAnsi"/>
          <w:lang w:eastAsia="en-US"/>
        </w:rPr>
        <w:t>. E</w:t>
      </w:r>
      <w:r w:rsidRPr="00D40080">
        <w:rPr>
          <w:rFonts w:eastAsiaTheme="minorHAnsi"/>
          <w:lang w:eastAsia="en-US"/>
        </w:rPr>
        <w:t>dad de los pacientes con hematuria</w:t>
      </w:r>
      <w:r w:rsidR="00D82C9B">
        <w:rPr>
          <w:rFonts w:eastAsiaTheme="minorHAnsi"/>
          <w:lang w:eastAsia="en-US"/>
        </w:rPr>
        <w:t xml:space="preserve"> que se estudiaron</w:t>
      </w:r>
    </w:p>
    <w:p w:rsidR="008657DB" w:rsidRPr="00D40080" w:rsidRDefault="008657DB" w:rsidP="00D82C9B">
      <w:pPr>
        <w:autoSpaceDE w:val="0"/>
        <w:autoSpaceDN w:val="0"/>
        <w:adjustRightInd w:val="0"/>
        <w:spacing w:before="240" w:after="240" w:line="360" w:lineRule="auto"/>
        <w:jc w:val="both"/>
        <w:rPr>
          <w:rFonts w:eastAsiaTheme="minorHAnsi"/>
          <w:lang w:eastAsia="en-US"/>
        </w:rPr>
      </w:pPr>
      <w:r w:rsidRPr="00D40080">
        <w:rPr>
          <w:rFonts w:eastAsiaTheme="minorHAnsi"/>
          <w:lang w:eastAsia="en-US"/>
        </w:rPr>
        <w:t>De los pacientes del e</w:t>
      </w:r>
      <w:r w:rsidR="000933F1" w:rsidRPr="00D40080">
        <w:rPr>
          <w:rFonts w:eastAsiaTheme="minorHAnsi"/>
          <w:lang w:eastAsia="en-US"/>
        </w:rPr>
        <w:t xml:space="preserve">studio mostrado en el gráfico </w:t>
      </w:r>
      <w:r w:rsidR="00A3332B" w:rsidRPr="00D40080">
        <w:rPr>
          <w:rFonts w:eastAsiaTheme="minorHAnsi"/>
          <w:lang w:eastAsia="en-US"/>
        </w:rPr>
        <w:t>1</w:t>
      </w:r>
      <w:r w:rsidR="000933F1" w:rsidRPr="00D40080">
        <w:rPr>
          <w:rFonts w:eastAsiaTheme="minorHAnsi"/>
          <w:lang w:eastAsia="en-US"/>
        </w:rPr>
        <w:t>;</w:t>
      </w:r>
      <w:r w:rsidRPr="00D40080">
        <w:rPr>
          <w:rFonts w:eastAsiaTheme="minorHAnsi"/>
          <w:lang w:eastAsia="en-US"/>
        </w:rPr>
        <w:t xml:space="preserve"> 68 </w:t>
      </w:r>
      <w:r w:rsidR="000933F1" w:rsidRPr="00D40080">
        <w:rPr>
          <w:rFonts w:eastAsiaTheme="minorHAnsi"/>
          <w:lang w:eastAsia="en-US"/>
        </w:rPr>
        <w:t xml:space="preserve">pacientes </w:t>
      </w:r>
      <w:r w:rsidRPr="00D40080">
        <w:rPr>
          <w:rFonts w:eastAsiaTheme="minorHAnsi"/>
          <w:lang w:eastAsia="en-US"/>
        </w:rPr>
        <w:t>eran del sexo masculino,  representando el 79.06 %, con 18 pacientes del sexo femenino, para el 20.93%.</w:t>
      </w:r>
      <w:r w:rsidR="00AA4208">
        <w:rPr>
          <w:rFonts w:eastAsiaTheme="minorHAnsi"/>
          <w:lang w:eastAsia="en-US"/>
        </w:rPr>
        <w:t xml:space="preserve"> </w:t>
      </w:r>
    </w:p>
    <w:p w:rsidR="00E47E6D" w:rsidRPr="00D40080" w:rsidRDefault="007D5AC7" w:rsidP="00D82C9B">
      <w:pPr>
        <w:spacing w:before="240" w:after="240" w:line="360" w:lineRule="auto"/>
        <w:jc w:val="center"/>
      </w:pPr>
      <w:r>
        <w:rPr>
          <w:noProof/>
          <w:lang w:val="es-419" w:eastAsia="es-419"/>
        </w:rPr>
        <w:lastRenderedPageBreak/>
        <w:drawing>
          <wp:inline distT="0" distB="0" distL="0" distR="0">
            <wp:extent cx="4572000" cy="205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057400"/>
                    </a:xfrm>
                    <a:prstGeom prst="rect">
                      <a:avLst/>
                    </a:prstGeom>
                    <a:noFill/>
                    <a:ln>
                      <a:noFill/>
                    </a:ln>
                  </pic:spPr>
                </pic:pic>
              </a:graphicData>
            </a:graphic>
          </wp:inline>
        </w:drawing>
      </w:r>
    </w:p>
    <w:p w:rsidR="00AA4208" w:rsidRDefault="00AA4208" w:rsidP="00D82C9B">
      <w:pPr>
        <w:spacing w:before="240" w:after="240" w:line="360" w:lineRule="auto"/>
        <w:jc w:val="center"/>
      </w:pPr>
      <w:r w:rsidRPr="00AA4208">
        <w:rPr>
          <w:rFonts w:eastAsiaTheme="minorHAnsi"/>
          <w:bCs/>
          <w:lang w:eastAsia="en-US"/>
        </w:rPr>
        <w:t>Gráfico 1.</w:t>
      </w:r>
      <w:r w:rsidRPr="00D40080">
        <w:rPr>
          <w:rFonts w:eastAsiaTheme="minorHAnsi"/>
          <w:b/>
          <w:bCs/>
          <w:lang w:eastAsia="en-US"/>
        </w:rPr>
        <w:t xml:space="preserve">  </w:t>
      </w:r>
      <w:r w:rsidRPr="00D40080">
        <w:t xml:space="preserve">Distribución de los pacientes de acuerdo al sexo </w:t>
      </w:r>
      <w:r w:rsidRPr="00D40080">
        <w:rPr>
          <w:bCs/>
        </w:rPr>
        <w:t>de los pacientes con hematuria</w:t>
      </w:r>
      <w:r w:rsidRPr="00D40080">
        <w:t>. Hospital Pediátrico Provincial Docente “General Milanés”. 2020.</w:t>
      </w:r>
    </w:p>
    <w:p w:rsidR="00B24696" w:rsidRPr="00D40080" w:rsidRDefault="00B24696" w:rsidP="00D82C9B">
      <w:pPr>
        <w:pStyle w:val="Default"/>
        <w:spacing w:before="240" w:after="240" w:line="360" w:lineRule="auto"/>
        <w:jc w:val="both"/>
        <w:rPr>
          <w:rFonts w:ascii="Times New Roman" w:hAnsi="Times New Roman" w:cs="Times New Roman"/>
        </w:rPr>
      </w:pPr>
      <w:r w:rsidRPr="00D40080">
        <w:rPr>
          <w:rFonts w:ascii="Times New Roman" w:hAnsi="Times New Roman" w:cs="Times New Roman"/>
        </w:rPr>
        <w:t xml:space="preserve">El gráfico </w:t>
      </w:r>
      <w:r w:rsidR="00E47E6D">
        <w:rPr>
          <w:rFonts w:ascii="Times New Roman" w:hAnsi="Times New Roman" w:cs="Times New Roman"/>
        </w:rPr>
        <w:t>2</w:t>
      </w:r>
      <w:r w:rsidRPr="00D40080">
        <w:rPr>
          <w:rFonts w:ascii="Times New Roman" w:hAnsi="Times New Roman" w:cs="Times New Roman"/>
        </w:rPr>
        <w:t xml:space="preserve"> refleja los síntomas y signos acompañantes en los pacientes con hematuria, la disuria predomino en el 52.32% de los casos, seguida del dolor lumbar en el 24.41%.  </w:t>
      </w:r>
    </w:p>
    <w:p w:rsidR="00B24696" w:rsidRPr="00D40080" w:rsidRDefault="007D5AC7" w:rsidP="00D82C9B">
      <w:pPr>
        <w:pStyle w:val="Default"/>
        <w:spacing w:before="240" w:after="240" w:line="360" w:lineRule="auto"/>
        <w:jc w:val="center"/>
        <w:rPr>
          <w:rFonts w:ascii="Times New Roman" w:hAnsi="Times New Roman" w:cs="Times New Roman"/>
        </w:rPr>
      </w:pPr>
      <w:r>
        <w:rPr>
          <w:rFonts w:ascii="Times New Roman" w:hAnsi="Times New Roman" w:cs="Times New Roman"/>
          <w:noProof/>
          <w:lang w:val="es-419" w:eastAsia="es-419"/>
        </w:rPr>
        <w:drawing>
          <wp:inline distT="0" distB="0" distL="0" distR="0">
            <wp:extent cx="5019675" cy="2038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9675" cy="2038350"/>
                    </a:xfrm>
                    <a:prstGeom prst="rect">
                      <a:avLst/>
                    </a:prstGeom>
                    <a:noFill/>
                    <a:ln>
                      <a:noFill/>
                    </a:ln>
                  </pic:spPr>
                </pic:pic>
              </a:graphicData>
            </a:graphic>
          </wp:inline>
        </w:drawing>
      </w:r>
    </w:p>
    <w:p w:rsidR="00AA4208" w:rsidRDefault="00AA4208" w:rsidP="00D82C9B">
      <w:pPr>
        <w:spacing w:before="240" w:after="240" w:line="360" w:lineRule="auto"/>
        <w:jc w:val="center"/>
      </w:pPr>
      <w:r w:rsidRPr="00D40080">
        <w:rPr>
          <w:b/>
        </w:rPr>
        <w:t xml:space="preserve">Gráfico 2. </w:t>
      </w:r>
      <w:r w:rsidRPr="00D40080">
        <w:t xml:space="preserve">Distribución de los pacientes de acuerdo a los síntomas y signos acompañantes </w:t>
      </w:r>
      <w:r w:rsidRPr="00D40080">
        <w:rPr>
          <w:bCs/>
        </w:rPr>
        <w:t>de los pacientes con hematuria</w:t>
      </w:r>
      <w:r w:rsidRPr="00D40080">
        <w:t>. Hospital Pediátrico Provincial Docente “General Milanés”. 2020.</w:t>
      </w:r>
    </w:p>
    <w:p w:rsidR="0062690C" w:rsidRDefault="005F1F68" w:rsidP="00D82C9B">
      <w:pPr>
        <w:pStyle w:val="Default"/>
        <w:spacing w:before="240" w:after="240" w:line="360" w:lineRule="auto"/>
        <w:jc w:val="both"/>
        <w:rPr>
          <w:rFonts w:ascii="Times New Roman" w:hAnsi="Times New Roman" w:cs="Times New Roman"/>
        </w:rPr>
      </w:pPr>
      <w:r w:rsidRPr="00D40080">
        <w:rPr>
          <w:rFonts w:ascii="Times New Roman" w:hAnsi="Times New Roman" w:cs="Times New Roman"/>
        </w:rPr>
        <w:t>En la tabla 2</w:t>
      </w:r>
      <w:r w:rsidR="009C3A8E" w:rsidRPr="00D40080">
        <w:rPr>
          <w:rFonts w:ascii="Times New Roman" w:hAnsi="Times New Roman" w:cs="Times New Roman"/>
        </w:rPr>
        <w:t xml:space="preserve"> se resaltan los antecedentes patológicos personales, predominaron los niños sin antecedentes para un </w:t>
      </w:r>
      <w:r w:rsidR="00697EAE" w:rsidRPr="00D40080">
        <w:rPr>
          <w:rFonts w:ascii="Times New Roman" w:hAnsi="Times New Roman" w:cs="Times New Roman"/>
        </w:rPr>
        <w:t>59.30%, el resto de los antecedentes no representan un número importante de casos.</w:t>
      </w:r>
    </w:p>
    <w:p w:rsidR="00D30CF8" w:rsidRPr="00D40080" w:rsidRDefault="00D30CF8" w:rsidP="00D30CF8">
      <w:pPr>
        <w:spacing w:before="240" w:after="240" w:line="360" w:lineRule="auto"/>
        <w:jc w:val="both"/>
      </w:pPr>
      <w:r w:rsidRPr="00D40080">
        <w:t>El Gráfico 3 refleja los antecedentes patológicos familiares, la hipertensión arterial en el 54.55% de los niños, el 20.93% presentaban antecedentes de alguna enfermedad renal, mientras el 29.6 % de los niños no presentan ningún antecedente.</w:t>
      </w:r>
    </w:p>
    <w:p w:rsidR="00D30CF8" w:rsidRPr="00AA4208" w:rsidRDefault="00D30CF8" w:rsidP="00D82C9B">
      <w:pPr>
        <w:pStyle w:val="Default"/>
        <w:spacing w:before="240" w:after="240" w:line="360" w:lineRule="auto"/>
        <w:jc w:val="both"/>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4219"/>
        <w:gridCol w:w="814"/>
        <w:gridCol w:w="1275"/>
      </w:tblGrid>
      <w:tr w:rsidR="009C3A8E" w:rsidRPr="00D40080" w:rsidTr="00A52FEC">
        <w:trPr>
          <w:jc w:val="center"/>
        </w:trPr>
        <w:tc>
          <w:tcPr>
            <w:tcW w:w="4219" w:type="dxa"/>
          </w:tcPr>
          <w:p w:rsidR="009C3A8E" w:rsidRPr="00D40080" w:rsidRDefault="009C3A8E" w:rsidP="00A52FEC">
            <w:r w:rsidRPr="00D40080">
              <w:lastRenderedPageBreak/>
              <w:t>Antecedentes patológicos personales</w:t>
            </w:r>
          </w:p>
        </w:tc>
        <w:tc>
          <w:tcPr>
            <w:tcW w:w="814" w:type="dxa"/>
          </w:tcPr>
          <w:p w:rsidR="009C3A8E" w:rsidRPr="00D40080" w:rsidRDefault="009C3A8E" w:rsidP="00A52FEC">
            <w:r w:rsidRPr="00D40080">
              <w:t>No</w:t>
            </w:r>
          </w:p>
        </w:tc>
        <w:tc>
          <w:tcPr>
            <w:tcW w:w="1275" w:type="dxa"/>
          </w:tcPr>
          <w:p w:rsidR="009C3A8E" w:rsidRPr="00D40080" w:rsidRDefault="00697EAE" w:rsidP="00A52FEC">
            <w:r w:rsidRPr="00D40080">
              <w:t>%</w:t>
            </w:r>
          </w:p>
        </w:tc>
      </w:tr>
      <w:tr w:rsidR="009C3A8E" w:rsidRPr="00D40080" w:rsidTr="00A52FEC">
        <w:trPr>
          <w:jc w:val="center"/>
        </w:trPr>
        <w:tc>
          <w:tcPr>
            <w:tcW w:w="4219" w:type="dxa"/>
          </w:tcPr>
          <w:p w:rsidR="009C3A8E" w:rsidRPr="00D40080" w:rsidRDefault="00697EAE" w:rsidP="00A52FEC">
            <w:r w:rsidRPr="00D40080">
              <w:t>Sin antecedentes</w:t>
            </w:r>
          </w:p>
        </w:tc>
        <w:tc>
          <w:tcPr>
            <w:tcW w:w="814" w:type="dxa"/>
          </w:tcPr>
          <w:p w:rsidR="009C3A8E" w:rsidRPr="00D40080" w:rsidRDefault="00697EAE" w:rsidP="00A52FEC">
            <w:r w:rsidRPr="00D40080">
              <w:t>51</w:t>
            </w:r>
          </w:p>
        </w:tc>
        <w:tc>
          <w:tcPr>
            <w:tcW w:w="1275" w:type="dxa"/>
          </w:tcPr>
          <w:p w:rsidR="009C3A8E" w:rsidRPr="00D40080" w:rsidRDefault="00697EAE" w:rsidP="00A52FEC">
            <w:r w:rsidRPr="00D40080">
              <w:t>59.3</w:t>
            </w:r>
            <w:r w:rsidR="00A916FD" w:rsidRPr="00D40080">
              <w:t>1%</w:t>
            </w:r>
          </w:p>
        </w:tc>
      </w:tr>
      <w:tr w:rsidR="009C3A8E" w:rsidRPr="00D40080" w:rsidTr="00A52FEC">
        <w:trPr>
          <w:jc w:val="center"/>
        </w:trPr>
        <w:tc>
          <w:tcPr>
            <w:tcW w:w="4219" w:type="dxa"/>
          </w:tcPr>
          <w:p w:rsidR="00697EAE" w:rsidRPr="00D40080" w:rsidRDefault="000C126E" w:rsidP="00A52FEC">
            <w:r w:rsidRPr="00D40080">
              <w:t>Trauma</w:t>
            </w:r>
          </w:p>
        </w:tc>
        <w:tc>
          <w:tcPr>
            <w:tcW w:w="814" w:type="dxa"/>
          </w:tcPr>
          <w:p w:rsidR="009C3A8E" w:rsidRPr="00D40080" w:rsidRDefault="000C126E" w:rsidP="00A52FEC">
            <w:r w:rsidRPr="00D40080">
              <w:t>16</w:t>
            </w:r>
          </w:p>
        </w:tc>
        <w:tc>
          <w:tcPr>
            <w:tcW w:w="1275" w:type="dxa"/>
          </w:tcPr>
          <w:p w:rsidR="009C3A8E" w:rsidRPr="00D40080" w:rsidRDefault="000C126E" w:rsidP="00A52FEC">
            <w:r w:rsidRPr="00D40080">
              <w:t>18.6</w:t>
            </w:r>
            <w:r w:rsidR="00A916FD" w:rsidRPr="00D40080">
              <w:t>1%</w:t>
            </w:r>
          </w:p>
        </w:tc>
      </w:tr>
      <w:tr w:rsidR="009C3A8E" w:rsidRPr="00D40080" w:rsidTr="00A52FEC">
        <w:trPr>
          <w:jc w:val="center"/>
        </w:trPr>
        <w:tc>
          <w:tcPr>
            <w:tcW w:w="4219" w:type="dxa"/>
          </w:tcPr>
          <w:p w:rsidR="009C3A8E" w:rsidRPr="00D40080" w:rsidRDefault="00697EAE" w:rsidP="00A52FEC">
            <w:r w:rsidRPr="00D40080">
              <w:t>Diabetes Mellitus</w:t>
            </w:r>
          </w:p>
        </w:tc>
        <w:tc>
          <w:tcPr>
            <w:tcW w:w="814" w:type="dxa"/>
          </w:tcPr>
          <w:p w:rsidR="009C3A8E" w:rsidRPr="00D40080" w:rsidRDefault="00697EAE" w:rsidP="00A52FEC">
            <w:r w:rsidRPr="00D40080">
              <w:t>1</w:t>
            </w:r>
          </w:p>
        </w:tc>
        <w:tc>
          <w:tcPr>
            <w:tcW w:w="1275" w:type="dxa"/>
          </w:tcPr>
          <w:p w:rsidR="009C3A8E" w:rsidRPr="00D40080" w:rsidRDefault="00697EAE" w:rsidP="00A52FEC">
            <w:r w:rsidRPr="00D40080">
              <w:t>1.16</w:t>
            </w:r>
            <w:r w:rsidR="00A916FD" w:rsidRPr="00D40080">
              <w:t>%</w:t>
            </w:r>
          </w:p>
        </w:tc>
      </w:tr>
      <w:tr w:rsidR="009C3A8E" w:rsidRPr="00D40080" w:rsidTr="00A52FEC">
        <w:trPr>
          <w:jc w:val="center"/>
        </w:trPr>
        <w:tc>
          <w:tcPr>
            <w:tcW w:w="4219" w:type="dxa"/>
          </w:tcPr>
          <w:p w:rsidR="009C3A8E" w:rsidRPr="00D40080" w:rsidRDefault="00C711A6" w:rsidP="00A52FEC">
            <w:r w:rsidRPr="00D40080">
              <w:t>Exantema</w:t>
            </w:r>
          </w:p>
        </w:tc>
        <w:tc>
          <w:tcPr>
            <w:tcW w:w="814" w:type="dxa"/>
          </w:tcPr>
          <w:p w:rsidR="009C3A8E" w:rsidRPr="00D40080" w:rsidRDefault="00697EAE" w:rsidP="00A52FEC">
            <w:r w:rsidRPr="00D40080">
              <w:t>1</w:t>
            </w:r>
          </w:p>
        </w:tc>
        <w:tc>
          <w:tcPr>
            <w:tcW w:w="1275" w:type="dxa"/>
          </w:tcPr>
          <w:p w:rsidR="009C3A8E" w:rsidRPr="00D40080" w:rsidRDefault="00697EAE" w:rsidP="00A52FEC">
            <w:r w:rsidRPr="00D40080">
              <w:t>1.16</w:t>
            </w:r>
            <w:r w:rsidR="00A916FD" w:rsidRPr="00D40080">
              <w:t>%</w:t>
            </w:r>
          </w:p>
        </w:tc>
      </w:tr>
      <w:tr w:rsidR="009C3A8E" w:rsidRPr="00D40080" w:rsidTr="00A52FEC">
        <w:trPr>
          <w:jc w:val="center"/>
        </w:trPr>
        <w:tc>
          <w:tcPr>
            <w:tcW w:w="4219" w:type="dxa"/>
          </w:tcPr>
          <w:p w:rsidR="009C3A8E" w:rsidRPr="00D40080" w:rsidRDefault="00C711A6" w:rsidP="00A52FEC">
            <w:r w:rsidRPr="00D40080">
              <w:t>Infecciones</w:t>
            </w:r>
          </w:p>
        </w:tc>
        <w:tc>
          <w:tcPr>
            <w:tcW w:w="814" w:type="dxa"/>
          </w:tcPr>
          <w:p w:rsidR="009C3A8E" w:rsidRPr="00D40080" w:rsidRDefault="00697EAE" w:rsidP="00A52FEC">
            <w:r w:rsidRPr="00D40080">
              <w:t>1</w:t>
            </w:r>
          </w:p>
        </w:tc>
        <w:tc>
          <w:tcPr>
            <w:tcW w:w="1275" w:type="dxa"/>
          </w:tcPr>
          <w:p w:rsidR="009C3A8E" w:rsidRPr="00D40080" w:rsidRDefault="00697EAE" w:rsidP="00A52FEC">
            <w:r w:rsidRPr="00D40080">
              <w:t>1.16</w:t>
            </w:r>
            <w:r w:rsidR="00A916FD" w:rsidRPr="00D40080">
              <w:t>%</w:t>
            </w:r>
          </w:p>
        </w:tc>
      </w:tr>
      <w:tr w:rsidR="009C3A8E" w:rsidRPr="00D40080" w:rsidTr="00A52FEC">
        <w:trPr>
          <w:jc w:val="center"/>
        </w:trPr>
        <w:tc>
          <w:tcPr>
            <w:tcW w:w="4219" w:type="dxa"/>
          </w:tcPr>
          <w:p w:rsidR="009C3A8E" w:rsidRPr="00D40080" w:rsidRDefault="00C711A6" w:rsidP="00A52FEC">
            <w:r w:rsidRPr="00D40080">
              <w:t>Ejercicio</w:t>
            </w:r>
          </w:p>
        </w:tc>
        <w:tc>
          <w:tcPr>
            <w:tcW w:w="814" w:type="dxa"/>
          </w:tcPr>
          <w:p w:rsidR="009C3A8E" w:rsidRPr="00D40080" w:rsidRDefault="00697EAE" w:rsidP="00A52FEC">
            <w:r w:rsidRPr="00D40080">
              <w:t>6</w:t>
            </w:r>
          </w:p>
        </w:tc>
        <w:tc>
          <w:tcPr>
            <w:tcW w:w="1275" w:type="dxa"/>
          </w:tcPr>
          <w:p w:rsidR="009C3A8E" w:rsidRPr="00D40080" w:rsidRDefault="00A916FD" w:rsidP="00A52FEC">
            <w:r w:rsidRPr="00D40080">
              <w:t>6.97%</w:t>
            </w:r>
          </w:p>
        </w:tc>
      </w:tr>
      <w:tr w:rsidR="00697EAE" w:rsidRPr="00D40080" w:rsidTr="00A52FEC">
        <w:trPr>
          <w:jc w:val="center"/>
        </w:trPr>
        <w:tc>
          <w:tcPr>
            <w:tcW w:w="4219" w:type="dxa"/>
          </w:tcPr>
          <w:p w:rsidR="00697EAE" w:rsidRPr="00D40080" w:rsidRDefault="00697EAE" w:rsidP="00A52FEC">
            <w:proofErr w:type="spellStart"/>
            <w:r w:rsidRPr="00D40080">
              <w:t>Sicklemia</w:t>
            </w:r>
            <w:proofErr w:type="spellEnd"/>
          </w:p>
        </w:tc>
        <w:tc>
          <w:tcPr>
            <w:tcW w:w="814" w:type="dxa"/>
          </w:tcPr>
          <w:p w:rsidR="00697EAE" w:rsidRPr="00D40080" w:rsidRDefault="00697EAE" w:rsidP="00A52FEC">
            <w:r w:rsidRPr="00D40080">
              <w:t>4</w:t>
            </w:r>
          </w:p>
        </w:tc>
        <w:tc>
          <w:tcPr>
            <w:tcW w:w="1275" w:type="dxa"/>
          </w:tcPr>
          <w:p w:rsidR="00697EAE" w:rsidRPr="00D40080" w:rsidRDefault="000C126E" w:rsidP="00A52FEC">
            <w:r w:rsidRPr="00D40080">
              <w:t>4.6</w:t>
            </w:r>
            <w:r w:rsidR="00A916FD" w:rsidRPr="00D40080">
              <w:t>6%</w:t>
            </w:r>
          </w:p>
        </w:tc>
      </w:tr>
      <w:tr w:rsidR="000C126E" w:rsidRPr="00D40080" w:rsidTr="00A52FEC">
        <w:trPr>
          <w:jc w:val="center"/>
        </w:trPr>
        <w:tc>
          <w:tcPr>
            <w:tcW w:w="4219" w:type="dxa"/>
          </w:tcPr>
          <w:p w:rsidR="000C126E" w:rsidRPr="00D40080" w:rsidRDefault="000C126E" w:rsidP="00A52FEC">
            <w:r w:rsidRPr="00D40080">
              <w:t>Sin relación con la hematuria</w:t>
            </w:r>
          </w:p>
        </w:tc>
        <w:tc>
          <w:tcPr>
            <w:tcW w:w="814" w:type="dxa"/>
          </w:tcPr>
          <w:p w:rsidR="000C126E" w:rsidRPr="00D40080" w:rsidRDefault="000C126E" w:rsidP="00A52FEC">
            <w:r w:rsidRPr="00D40080">
              <w:t>6</w:t>
            </w:r>
          </w:p>
        </w:tc>
        <w:tc>
          <w:tcPr>
            <w:tcW w:w="1275" w:type="dxa"/>
          </w:tcPr>
          <w:p w:rsidR="000C126E" w:rsidRPr="00D40080" w:rsidRDefault="00A916FD" w:rsidP="00A52FEC">
            <w:r w:rsidRPr="00D40080">
              <w:t>6.97</w:t>
            </w:r>
            <w:r w:rsidR="000C126E" w:rsidRPr="00D40080">
              <w:t>%</w:t>
            </w:r>
          </w:p>
        </w:tc>
      </w:tr>
      <w:tr w:rsidR="000C126E" w:rsidRPr="00D40080" w:rsidTr="00A52FEC">
        <w:trPr>
          <w:jc w:val="center"/>
        </w:trPr>
        <w:tc>
          <w:tcPr>
            <w:tcW w:w="4219" w:type="dxa"/>
          </w:tcPr>
          <w:p w:rsidR="000C126E" w:rsidRPr="00D40080" w:rsidRDefault="000C126E" w:rsidP="00A52FEC">
            <w:r w:rsidRPr="00D40080">
              <w:t>Total</w:t>
            </w:r>
          </w:p>
        </w:tc>
        <w:tc>
          <w:tcPr>
            <w:tcW w:w="814" w:type="dxa"/>
          </w:tcPr>
          <w:p w:rsidR="000C126E" w:rsidRPr="00D40080" w:rsidRDefault="000C126E" w:rsidP="00A52FEC">
            <w:r w:rsidRPr="00D40080">
              <w:t>86</w:t>
            </w:r>
          </w:p>
        </w:tc>
        <w:tc>
          <w:tcPr>
            <w:tcW w:w="1275" w:type="dxa"/>
          </w:tcPr>
          <w:p w:rsidR="000C126E" w:rsidRPr="00D40080" w:rsidRDefault="00A916FD" w:rsidP="00A52FEC">
            <w:r w:rsidRPr="00D40080">
              <w:t>100%</w:t>
            </w:r>
          </w:p>
        </w:tc>
      </w:tr>
    </w:tbl>
    <w:p w:rsidR="00AA4208" w:rsidRPr="00D82C9B" w:rsidRDefault="00AA4208" w:rsidP="00A52FEC">
      <w:pPr>
        <w:pStyle w:val="Default"/>
        <w:spacing w:before="240" w:after="240" w:line="360" w:lineRule="auto"/>
        <w:jc w:val="center"/>
        <w:rPr>
          <w:rFonts w:ascii="Times New Roman" w:hAnsi="Times New Roman" w:cs="Times New Roman"/>
        </w:rPr>
      </w:pPr>
      <w:r w:rsidRPr="00D82C9B">
        <w:rPr>
          <w:rFonts w:ascii="Times New Roman" w:hAnsi="Times New Roman" w:cs="Times New Roman"/>
          <w:bCs/>
        </w:rPr>
        <w:t xml:space="preserve">Tabla 2. Distribución de los pacientes </w:t>
      </w:r>
      <w:proofErr w:type="spellStart"/>
      <w:r w:rsidRPr="00D82C9B">
        <w:rPr>
          <w:rFonts w:ascii="Times New Roman" w:hAnsi="Times New Roman" w:cs="Times New Roman"/>
          <w:bCs/>
        </w:rPr>
        <w:t>porAntecedente</w:t>
      </w:r>
      <w:proofErr w:type="spellEnd"/>
      <w:r w:rsidRPr="00D82C9B">
        <w:rPr>
          <w:rFonts w:ascii="Times New Roman" w:hAnsi="Times New Roman" w:cs="Times New Roman"/>
          <w:bCs/>
        </w:rPr>
        <w:t xml:space="preserve"> Patológicos Personales de los pacientes con hematuria</w:t>
      </w:r>
      <w:r w:rsidRPr="00D82C9B">
        <w:rPr>
          <w:rFonts w:ascii="Times New Roman" w:hAnsi="Times New Roman" w:cs="Times New Roman"/>
        </w:rPr>
        <w:t>. Hospital Pediátrico Provincial Docente “General Milanés”.2020.</w:t>
      </w:r>
    </w:p>
    <w:p w:rsidR="00AA4208" w:rsidRPr="00D40080" w:rsidRDefault="007D5AC7" w:rsidP="00B67DF8">
      <w:pPr>
        <w:spacing w:before="240" w:after="240" w:line="360" w:lineRule="auto"/>
        <w:jc w:val="center"/>
      </w:pPr>
      <w:r>
        <w:rPr>
          <w:noProof/>
          <w:lang w:val="es-419" w:eastAsia="es-419"/>
        </w:rPr>
        <w:drawing>
          <wp:inline distT="0" distB="0" distL="0" distR="0">
            <wp:extent cx="4572000"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AA4208" w:rsidRPr="00B67DF8" w:rsidRDefault="00AA4208" w:rsidP="00B67DF8">
      <w:pPr>
        <w:spacing w:before="240" w:after="240" w:line="360" w:lineRule="auto"/>
        <w:jc w:val="center"/>
      </w:pPr>
      <w:r w:rsidRPr="00B67DF8">
        <w:t xml:space="preserve">Gráfico 3. Distribución de los pacientes de acuerdo </w:t>
      </w:r>
      <w:proofErr w:type="spellStart"/>
      <w:r w:rsidRPr="00B67DF8">
        <w:t>al</w:t>
      </w:r>
      <w:proofErr w:type="spellEnd"/>
      <w:r w:rsidRPr="00B67DF8">
        <w:t xml:space="preserve"> los antecedentes patológicos familiares </w:t>
      </w:r>
      <w:r w:rsidRPr="00B67DF8">
        <w:rPr>
          <w:bCs/>
        </w:rPr>
        <w:t>de los pacientes con hematuria</w:t>
      </w:r>
      <w:r w:rsidRPr="00B67DF8">
        <w:t>. Hospital Pediátrico Provincial Docente “General Milanés”. 2020.</w:t>
      </w:r>
    </w:p>
    <w:p w:rsidR="0013785A" w:rsidRDefault="002C464A" w:rsidP="00D82C9B">
      <w:pPr>
        <w:spacing w:before="240" w:after="240" w:line="360" w:lineRule="auto"/>
        <w:jc w:val="both"/>
      </w:pPr>
      <w:r w:rsidRPr="00D40080">
        <w:t xml:space="preserve">En el presente estudio, la tabla 3 refiere que el </w:t>
      </w:r>
      <w:r w:rsidR="00243E08" w:rsidRPr="00D40080">
        <w:t>47.68%</w:t>
      </w:r>
      <w:r w:rsidRPr="00D40080">
        <w:t xml:space="preserve"> presentaron </w:t>
      </w:r>
      <w:r w:rsidR="00243E08" w:rsidRPr="00D40080">
        <w:t>Hematuria no glomerular</w:t>
      </w:r>
      <w:r w:rsidRPr="00D40080">
        <w:t xml:space="preserve"> y el </w:t>
      </w:r>
      <w:r w:rsidR="00243E08" w:rsidRPr="00D40080">
        <w:t>22.09</w:t>
      </w:r>
      <w:r w:rsidRPr="00D40080">
        <w:t xml:space="preserve">% </w:t>
      </w:r>
      <w:r w:rsidR="00243E08" w:rsidRPr="00D40080">
        <w:t xml:space="preserve">hematuria post traumática. </w:t>
      </w:r>
    </w:p>
    <w:p w:rsidR="00D30CF8" w:rsidRPr="00D40080" w:rsidRDefault="00D30CF8" w:rsidP="00D30CF8">
      <w:pPr>
        <w:spacing w:before="240" w:after="240" w:line="360" w:lineRule="auto"/>
        <w:jc w:val="both"/>
        <w:rPr>
          <w:b/>
        </w:rPr>
      </w:pPr>
      <w:r w:rsidRPr="00D40080">
        <w:rPr>
          <w:b/>
        </w:rPr>
        <w:t>Discusión</w:t>
      </w:r>
    </w:p>
    <w:p w:rsidR="00D30CF8" w:rsidRPr="00D40080" w:rsidRDefault="00D30CF8" w:rsidP="00D30CF8">
      <w:pPr>
        <w:spacing w:before="240" w:after="240" w:line="360" w:lineRule="auto"/>
        <w:jc w:val="both"/>
        <w:rPr>
          <w:vertAlign w:val="superscript"/>
        </w:rPr>
      </w:pPr>
      <w:r w:rsidRPr="00D40080">
        <w:t xml:space="preserve">Los pediatras se enfrentan con frecuencia a la presencia de hematuria, esta es una de las manifestaciones más frecuentes de enfermedad </w:t>
      </w:r>
      <w:proofErr w:type="spellStart"/>
      <w:r w:rsidRPr="00D40080">
        <w:t>nefrourológica</w:t>
      </w:r>
      <w:proofErr w:type="spellEnd"/>
      <w:r w:rsidRPr="00D40080">
        <w:t xml:space="preserve"> y puede ser benigna o un signo de una condición subyacente; encontrarse en cualquier lugar de la vía urinaria, desde el glomérulo hasta el meato uretral, convirtiéndose en un problema que requiere intervenciones adecuadas para </w:t>
      </w:r>
      <w:r w:rsidRPr="00D40080">
        <w:lastRenderedPageBreak/>
        <w:t>prevenir su aparición y posibles complicaciones, que incluso pueden llevar a la enfermedad renal crónica.</w:t>
      </w:r>
      <w:r>
        <w:t xml:space="preserve"> (</w:t>
      </w:r>
      <w:r w:rsidRPr="009D3224">
        <w:rPr>
          <w:rFonts w:eastAsiaTheme="minorHAnsi"/>
          <w:bCs/>
          <w:color w:val="000000"/>
          <w:lang w:eastAsia="en-US"/>
        </w:rPr>
        <w:t>Viteri, Reid, 2018)</w:t>
      </w:r>
    </w:p>
    <w:tbl>
      <w:tblPr>
        <w:tblStyle w:val="Tablaconcuadrcula"/>
        <w:tblW w:w="0" w:type="auto"/>
        <w:jc w:val="center"/>
        <w:tblLook w:val="04A0" w:firstRow="1" w:lastRow="0" w:firstColumn="1" w:lastColumn="0" w:noHBand="0" w:noVBand="1"/>
      </w:tblPr>
      <w:tblGrid>
        <w:gridCol w:w="3820"/>
        <w:gridCol w:w="1124"/>
        <w:gridCol w:w="1286"/>
      </w:tblGrid>
      <w:tr w:rsidR="0013785A" w:rsidRPr="00B67DF8" w:rsidTr="00F71714">
        <w:trPr>
          <w:jc w:val="center"/>
        </w:trPr>
        <w:tc>
          <w:tcPr>
            <w:tcW w:w="3820" w:type="dxa"/>
          </w:tcPr>
          <w:p w:rsidR="0013785A" w:rsidRPr="00B67DF8" w:rsidRDefault="00AA007A" w:rsidP="00F71714">
            <w:bookmarkStart w:id="0" w:name="_GoBack"/>
            <w:bookmarkEnd w:id="0"/>
            <w:r w:rsidRPr="00B67DF8">
              <w:t>Etiología</w:t>
            </w:r>
          </w:p>
        </w:tc>
        <w:tc>
          <w:tcPr>
            <w:tcW w:w="1124" w:type="dxa"/>
          </w:tcPr>
          <w:p w:rsidR="0013785A" w:rsidRPr="00B67DF8" w:rsidRDefault="0013785A" w:rsidP="00F71714">
            <w:r w:rsidRPr="00B67DF8">
              <w:t>No</w:t>
            </w:r>
          </w:p>
        </w:tc>
        <w:tc>
          <w:tcPr>
            <w:tcW w:w="1286" w:type="dxa"/>
          </w:tcPr>
          <w:p w:rsidR="0013785A" w:rsidRPr="00B67DF8" w:rsidRDefault="0013785A" w:rsidP="00F71714">
            <w:r w:rsidRPr="00B67DF8">
              <w:t>%</w:t>
            </w:r>
          </w:p>
        </w:tc>
      </w:tr>
      <w:tr w:rsidR="002C464A" w:rsidRPr="00B67DF8" w:rsidTr="00F71714">
        <w:trPr>
          <w:jc w:val="center"/>
        </w:trPr>
        <w:tc>
          <w:tcPr>
            <w:tcW w:w="3820" w:type="dxa"/>
          </w:tcPr>
          <w:p w:rsidR="002C464A" w:rsidRPr="00B67DF8" w:rsidRDefault="002C464A" w:rsidP="00F71714">
            <w:r w:rsidRPr="00B67DF8">
              <w:t>Hematuria no glomerular</w:t>
            </w:r>
            <w:r w:rsidR="001B5027" w:rsidRPr="00B67DF8">
              <w:t xml:space="preserve"> inespecífica</w:t>
            </w:r>
          </w:p>
        </w:tc>
        <w:tc>
          <w:tcPr>
            <w:tcW w:w="1124" w:type="dxa"/>
          </w:tcPr>
          <w:p w:rsidR="002C464A" w:rsidRPr="00B67DF8" w:rsidRDefault="001B5027" w:rsidP="00F71714">
            <w:r w:rsidRPr="00B67DF8">
              <w:t>41</w:t>
            </w:r>
          </w:p>
        </w:tc>
        <w:tc>
          <w:tcPr>
            <w:tcW w:w="1286" w:type="dxa"/>
          </w:tcPr>
          <w:p w:rsidR="002C464A" w:rsidRPr="00B67DF8" w:rsidRDefault="002B31B7" w:rsidP="00F71714">
            <w:r w:rsidRPr="00B67DF8">
              <w:t>47.68</w:t>
            </w:r>
            <w:r w:rsidR="0013785A" w:rsidRPr="00B67DF8">
              <w:t>%</w:t>
            </w:r>
          </w:p>
        </w:tc>
      </w:tr>
      <w:tr w:rsidR="002C464A" w:rsidRPr="00B67DF8" w:rsidTr="00F71714">
        <w:trPr>
          <w:jc w:val="center"/>
        </w:trPr>
        <w:tc>
          <w:tcPr>
            <w:tcW w:w="3820" w:type="dxa"/>
          </w:tcPr>
          <w:p w:rsidR="002C464A" w:rsidRPr="00B67DF8" w:rsidRDefault="002C464A" w:rsidP="00F71714">
            <w:r w:rsidRPr="00B67DF8">
              <w:t xml:space="preserve">Nefropatía por </w:t>
            </w:r>
            <w:proofErr w:type="spellStart"/>
            <w:r w:rsidRPr="00B67DF8">
              <w:t>Ig</w:t>
            </w:r>
            <w:proofErr w:type="spellEnd"/>
            <w:r w:rsidRPr="00B67DF8">
              <w:t xml:space="preserve"> A</w:t>
            </w:r>
          </w:p>
        </w:tc>
        <w:tc>
          <w:tcPr>
            <w:tcW w:w="1124" w:type="dxa"/>
          </w:tcPr>
          <w:p w:rsidR="002C464A" w:rsidRPr="00B67DF8" w:rsidRDefault="0013785A" w:rsidP="00F71714">
            <w:r w:rsidRPr="00B67DF8">
              <w:t>3</w:t>
            </w:r>
          </w:p>
        </w:tc>
        <w:tc>
          <w:tcPr>
            <w:tcW w:w="1286" w:type="dxa"/>
          </w:tcPr>
          <w:p w:rsidR="002C464A" w:rsidRPr="00B67DF8" w:rsidRDefault="0013785A" w:rsidP="00F71714">
            <w:r w:rsidRPr="00B67DF8">
              <w:t>3.48%</w:t>
            </w:r>
          </w:p>
        </w:tc>
      </w:tr>
      <w:tr w:rsidR="002C464A" w:rsidRPr="00B67DF8" w:rsidTr="00F71714">
        <w:trPr>
          <w:jc w:val="center"/>
        </w:trPr>
        <w:tc>
          <w:tcPr>
            <w:tcW w:w="3820" w:type="dxa"/>
          </w:tcPr>
          <w:p w:rsidR="002C464A" w:rsidRPr="00B67DF8" w:rsidRDefault="002C464A" w:rsidP="00F71714">
            <w:r w:rsidRPr="00B67DF8">
              <w:t>Litiasis</w:t>
            </w:r>
          </w:p>
        </w:tc>
        <w:tc>
          <w:tcPr>
            <w:tcW w:w="1124" w:type="dxa"/>
          </w:tcPr>
          <w:p w:rsidR="002C464A" w:rsidRPr="00B67DF8" w:rsidRDefault="0013785A" w:rsidP="00F71714">
            <w:r w:rsidRPr="00B67DF8">
              <w:t>5</w:t>
            </w:r>
          </w:p>
        </w:tc>
        <w:tc>
          <w:tcPr>
            <w:tcW w:w="1286" w:type="dxa"/>
          </w:tcPr>
          <w:p w:rsidR="002C464A" w:rsidRPr="00B67DF8" w:rsidRDefault="002B31B7" w:rsidP="00F71714">
            <w:r w:rsidRPr="00B67DF8">
              <w:t>5.82</w:t>
            </w:r>
            <w:r w:rsidR="0013785A" w:rsidRPr="00B67DF8">
              <w:t>%</w:t>
            </w:r>
          </w:p>
        </w:tc>
      </w:tr>
      <w:tr w:rsidR="002C464A" w:rsidRPr="00B67DF8" w:rsidTr="00F71714">
        <w:trPr>
          <w:jc w:val="center"/>
        </w:trPr>
        <w:tc>
          <w:tcPr>
            <w:tcW w:w="3820" w:type="dxa"/>
          </w:tcPr>
          <w:p w:rsidR="002C464A" w:rsidRPr="00B67DF8" w:rsidRDefault="002C464A" w:rsidP="00F71714">
            <w:r w:rsidRPr="00B67DF8">
              <w:t>Post traumática</w:t>
            </w:r>
          </w:p>
        </w:tc>
        <w:tc>
          <w:tcPr>
            <w:tcW w:w="1124" w:type="dxa"/>
          </w:tcPr>
          <w:p w:rsidR="002C464A" w:rsidRPr="00B67DF8" w:rsidRDefault="001B5027" w:rsidP="00F71714">
            <w:r w:rsidRPr="00B67DF8">
              <w:t>1</w:t>
            </w:r>
            <w:r w:rsidR="0013785A" w:rsidRPr="00B67DF8">
              <w:t>9</w:t>
            </w:r>
          </w:p>
        </w:tc>
        <w:tc>
          <w:tcPr>
            <w:tcW w:w="1286" w:type="dxa"/>
          </w:tcPr>
          <w:p w:rsidR="002C464A" w:rsidRPr="00B67DF8" w:rsidRDefault="001B5027" w:rsidP="00F71714">
            <w:r w:rsidRPr="00B67DF8">
              <w:t>22.09</w:t>
            </w:r>
            <w:r w:rsidR="0013785A" w:rsidRPr="00B67DF8">
              <w:t>%</w:t>
            </w:r>
          </w:p>
        </w:tc>
      </w:tr>
      <w:tr w:rsidR="002C464A" w:rsidRPr="00B67DF8" w:rsidTr="00F71714">
        <w:trPr>
          <w:jc w:val="center"/>
        </w:trPr>
        <w:tc>
          <w:tcPr>
            <w:tcW w:w="3820" w:type="dxa"/>
          </w:tcPr>
          <w:p w:rsidR="002C464A" w:rsidRPr="00B67DF8" w:rsidRDefault="002C464A" w:rsidP="00F71714">
            <w:r w:rsidRPr="00B67DF8">
              <w:t>Infección del tracto Urinario</w:t>
            </w:r>
          </w:p>
        </w:tc>
        <w:tc>
          <w:tcPr>
            <w:tcW w:w="1124" w:type="dxa"/>
          </w:tcPr>
          <w:p w:rsidR="002C464A" w:rsidRPr="00B67DF8" w:rsidRDefault="0013785A" w:rsidP="00F71714">
            <w:r w:rsidRPr="00B67DF8">
              <w:t>12</w:t>
            </w:r>
          </w:p>
        </w:tc>
        <w:tc>
          <w:tcPr>
            <w:tcW w:w="1286" w:type="dxa"/>
          </w:tcPr>
          <w:p w:rsidR="002C464A" w:rsidRPr="00B67DF8" w:rsidRDefault="0013785A" w:rsidP="00F71714">
            <w:r w:rsidRPr="00B67DF8">
              <w:t>13.95%</w:t>
            </w:r>
          </w:p>
        </w:tc>
      </w:tr>
      <w:tr w:rsidR="002C464A" w:rsidRPr="00B67DF8" w:rsidTr="00F71714">
        <w:trPr>
          <w:jc w:val="center"/>
        </w:trPr>
        <w:tc>
          <w:tcPr>
            <w:tcW w:w="3820" w:type="dxa"/>
          </w:tcPr>
          <w:p w:rsidR="002C464A" w:rsidRPr="00B67DF8" w:rsidRDefault="0013785A" w:rsidP="00F71714">
            <w:r w:rsidRPr="00B67DF8">
              <w:t xml:space="preserve">Enfermedad </w:t>
            </w:r>
            <w:proofErr w:type="spellStart"/>
            <w:r w:rsidRPr="00B67DF8">
              <w:t>Poliquística</w:t>
            </w:r>
            <w:proofErr w:type="spellEnd"/>
          </w:p>
        </w:tc>
        <w:tc>
          <w:tcPr>
            <w:tcW w:w="1124" w:type="dxa"/>
          </w:tcPr>
          <w:p w:rsidR="002C464A" w:rsidRPr="00B67DF8" w:rsidRDefault="0013785A" w:rsidP="00F71714">
            <w:r w:rsidRPr="00B67DF8">
              <w:t>1</w:t>
            </w:r>
          </w:p>
        </w:tc>
        <w:tc>
          <w:tcPr>
            <w:tcW w:w="1286" w:type="dxa"/>
          </w:tcPr>
          <w:p w:rsidR="002C464A" w:rsidRPr="00B67DF8" w:rsidRDefault="0013785A" w:rsidP="00F71714">
            <w:r w:rsidRPr="00B67DF8">
              <w:t>1.16%</w:t>
            </w:r>
          </w:p>
        </w:tc>
      </w:tr>
      <w:tr w:rsidR="002C464A" w:rsidRPr="00B67DF8" w:rsidTr="00F71714">
        <w:trPr>
          <w:jc w:val="center"/>
        </w:trPr>
        <w:tc>
          <w:tcPr>
            <w:tcW w:w="3820" w:type="dxa"/>
          </w:tcPr>
          <w:p w:rsidR="002C464A" w:rsidRPr="00B67DF8" w:rsidRDefault="0013785A" w:rsidP="00F71714">
            <w:r w:rsidRPr="00B67DF8">
              <w:t>En el curso de la Infección</w:t>
            </w:r>
          </w:p>
        </w:tc>
        <w:tc>
          <w:tcPr>
            <w:tcW w:w="1124" w:type="dxa"/>
          </w:tcPr>
          <w:p w:rsidR="002C464A" w:rsidRPr="00B67DF8" w:rsidRDefault="0013785A" w:rsidP="00F71714">
            <w:r w:rsidRPr="00B67DF8">
              <w:t>4</w:t>
            </w:r>
          </w:p>
        </w:tc>
        <w:tc>
          <w:tcPr>
            <w:tcW w:w="1286" w:type="dxa"/>
          </w:tcPr>
          <w:p w:rsidR="002C464A" w:rsidRPr="00B67DF8" w:rsidRDefault="002B31B7" w:rsidP="00F71714">
            <w:r w:rsidRPr="00B67DF8">
              <w:t>4.66</w:t>
            </w:r>
            <w:r w:rsidR="0013785A" w:rsidRPr="00B67DF8">
              <w:t>%</w:t>
            </w:r>
          </w:p>
        </w:tc>
      </w:tr>
      <w:tr w:rsidR="002C464A" w:rsidRPr="00B67DF8" w:rsidTr="00F71714">
        <w:trPr>
          <w:jc w:val="center"/>
        </w:trPr>
        <w:tc>
          <w:tcPr>
            <w:tcW w:w="3820" w:type="dxa"/>
          </w:tcPr>
          <w:p w:rsidR="002C464A" w:rsidRPr="00B67DF8" w:rsidRDefault="0013785A" w:rsidP="00F71714">
            <w:r w:rsidRPr="00B67DF8">
              <w:t>Secundario a AINE</w:t>
            </w:r>
          </w:p>
        </w:tc>
        <w:tc>
          <w:tcPr>
            <w:tcW w:w="1124" w:type="dxa"/>
          </w:tcPr>
          <w:p w:rsidR="002C464A" w:rsidRPr="00B67DF8" w:rsidRDefault="0013785A" w:rsidP="00F71714">
            <w:r w:rsidRPr="00B67DF8">
              <w:t>1</w:t>
            </w:r>
          </w:p>
        </w:tc>
        <w:tc>
          <w:tcPr>
            <w:tcW w:w="1286" w:type="dxa"/>
          </w:tcPr>
          <w:p w:rsidR="002C464A" w:rsidRPr="00B67DF8" w:rsidRDefault="0013785A" w:rsidP="00F71714">
            <w:r w:rsidRPr="00B67DF8">
              <w:t>1.16%</w:t>
            </w:r>
          </w:p>
        </w:tc>
      </w:tr>
      <w:tr w:rsidR="002B31B7" w:rsidRPr="00B67DF8" w:rsidTr="00F71714">
        <w:trPr>
          <w:jc w:val="center"/>
        </w:trPr>
        <w:tc>
          <w:tcPr>
            <w:tcW w:w="3820" w:type="dxa"/>
          </w:tcPr>
          <w:p w:rsidR="002B31B7" w:rsidRPr="00B67DF8" w:rsidRDefault="002B31B7" w:rsidP="00F71714">
            <w:r w:rsidRPr="00B67DF8">
              <w:t>Total</w:t>
            </w:r>
          </w:p>
        </w:tc>
        <w:tc>
          <w:tcPr>
            <w:tcW w:w="1124" w:type="dxa"/>
          </w:tcPr>
          <w:p w:rsidR="002B31B7" w:rsidRPr="00B67DF8" w:rsidRDefault="002B31B7" w:rsidP="00F71714">
            <w:r w:rsidRPr="00B67DF8">
              <w:t>86</w:t>
            </w:r>
          </w:p>
        </w:tc>
        <w:tc>
          <w:tcPr>
            <w:tcW w:w="1286" w:type="dxa"/>
          </w:tcPr>
          <w:p w:rsidR="002B31B7" w:rsidRPr="00B67DF8" w:rsidRDefault="002B31B7" w:rsidP="00F71714">
            <w:r w:rsidRPr="00B67DF8">
              <w:t>100%</w:t>
            </w:r>
          </w:p>
        </w:tc>
      </w:tr>
    </w:tbl>
    <w:p w:rsidR="00AA4208" w:rsidRDefault="00AA4208" w:rsidP="00F71714">
      <w:pPr>
        <w:spacing w:before="240" w:after="240" w:line="360" w:lineRule="auto"/>
        <w:jc w:val="center"/>
      </w:pPr>
      <w:r w:rsidRPr="00D40080">
        <w:rPr>
          <w:b/>
          <w:bCs/>
        </w:rPr>
        <w:t xml:space="preserve">Tabla 3. </w:t>
      </w:r>
      <w:r w:rsidRPr="00D40080">
        <w:rPr>
          <w:bCs/>
        </w:rPr>
        <w:t>Distribución de los pacientes de acuerdo al diagnóstico definitivo al egreso de los pacientes con hematuria</w:t>
      </w:r>
      <w:r w:rsidRPr="00D40080">
        <w:t>. Hospital Pediátrico Provincial Docente “General Milanés”. 2020.</w:t>
      </w:r>
    </w:p>
    <w:p w:rsidR="009144BC" w:rsidRPr="00D40080" w:rsidRDefault="00534DFA" w:rsidP="00D82C9B">
      <w:pPr>
        <w:spacing w:before="240" w:after="240" w:line="360" w:lineRule="auto"/>
        <w:jc w:val="both"/>
        <w:rPr>
          <w:vertAlign w:val="superscript"/>
        </w:rPr>
      </w:pPr>
      <w:r w:rsidRPr="00D40080">
        <w:t>Entre el 2 y 6% de los escolares tienen cantidades detectables de sangre en una muestra aislada de orina</w:t>
      </w:r>
      <w:r w:rsidR="00EB04AA" w:rsidRPr="00D40080">
        <w:t>,</w:t>
      </w:r>
      <w:r w:rsidR="009D3224">
        <w:t xml:space="preserve"> (</w:t>
      </w:r>
      <w:proofErr w:type="spellStart"/>
      <w:r w:rsidR="009D3224" w:rsidRPr="00D40080">
        <w:rPr>
          <w:rFonts w:eastAsia="Calibri"/>
        </w:rPr>
        <w:t>Len</w:t>
      </w:r>
      <w:proofErr w:type="spellEnd"/>
      <w:r w:rsidR="009D3224" w:rsidRPr="00D40080">
        <w:rPr>
          <w:rFonts w:eastAsia="Calibri"/>
        </w:rPr>
        <w:t xml:space="preserve"> Aguilera </w:t>
      </w:r>
      <w:r w:rsidR="009D3224">
        <w:rPr>
          <w:rFonts w:eastAsia="Calibri"/>
        </w:rPr>
        <w:t>&amp;</w:t>
      </w:r>
      <w:r w:rsidR="009D3224" w:rsidRPr="00D40080">
        <w:rPr>
          <w:rFonts w:eastAsia="Calibri"/>
        </w:rPr>
        <w:t xml:space="preserve"> de la Mata Franco</w:t>
      </w:r>
      <w:r w:rsidR="009D3224">
        <w:rPr>
          <w:rFonts w:eastAsia="Calibri"/>
        </w:rPr>
        <w:t>, 2015)</w:t>
      </w:r>
      <w:r w:rsidR="009144BC" w:rsidRPr="00D40080">
        <w:rPr>
          <w:vertAlign w:val="superscript"/>
        </w:rPr>
        <w:t xml:space="preserve"> </w:t>
      </w:r>
      <w:r w:rsidR="00EB04AA" w:rsidRPr="00D40080">
        <w:t xml:space="preserve">en otros </w:t>
      </w:r>
      <w:r w:rsidR="00EB04AA" w:rsidRPr="00D40080">
        <w:rPr>
          <w:rFonts w:eastAsiaTheme="minorHAnsi"/>
          <w:lang w:eastAsia="en-US"/>
        </w:rPr>
        <w:t>estudios en poblaciones en niños de edad escolar han</w:t>
      </w:r>
      <w:r w:rsidR="009144BC" w:rsidRPr="00D40080">
        <w:rPr>
          <w:rFonts w:eastAsiaTheme="minorHAnsi"/>
          <w:lang w:eastAsia="en-US"/>
        </w:rPr>
        <w:t xml:space="preserve"> </w:t>
      </w:r>
      <w:r w:rsidR="00EB04AA" w:rsidRPr="00D40080">
        <w:rPr>
          <w:rFonts w:eastAsiaTheme="minorHAnsi"/>
          <w:lang w:eastAsia="en-US"/>
        </w:rPr>
        <w:t>demostrado que el promedio de</w:t>
      </w:r>
      <w:r w:rsidR="009144BC" w:rsidRPr="00D40080">
        <w:rPr>
          <w:rFonts w:eastAsiaTheme="minorHAnsi"/>
          <w:lang w:eastAsia="en-US"/>
        </w:rPr>
        <w:t xml:space="preserve"> </w:t>
      </w:r>
      <w:r w:rsidR="00EB04AA" w:rsidRPr="00D40080">
        <w:rPr>
          <w:rFonts w:eastAsiaTheme="minorHAnsi"/>
          <w:lang w:eastAsia="en-US"/>
        </w:rPr>
        <w:t>la prevalencia de la hematuria</w:t>
      </w:r>
      <w:r w:rsidR="009144BC" w:rsidRPr="00D40080">
        <w:rPr>
          <w:rFonts w:eastAsiaTheme="minorHAnsi"/>
          <w:lang w:eastAsia="en-US"/>
        </w:rPr>
        <w:t xml:space="preserve"> </w:t>
      </w:r>
      <w:r w:rsidR="00EB04AA" w:rsidRPr="00D40080">
        <w:rPr>
          <w:rFonts w:eastAsiaTheme="minorHAnsi"/>
          <w:lang w:eastAsia="en-US"/>
        </w:rPr>
        <w:t>microscópica detectada en un</w:t>
      </w:r>
      <w:r w:rsidR="00242841" w:rsidRPr="00D40080">
        <w:rPr>
          <w:rFonts w:eastAsiaTheme="minorHAnsi"/>
          <w:lang w:eastAsia="en-US"/>
        </w:rPr>
        <w:t xml:space="preserve">a </w:t>
      </w:r>
      <w:r w:rsidR="00EB04AA" w:rsidRPr="00D40080">
        <w:rPr>
          <w:rFonts w:eastAsiaTheme="minorHAnsi"/>
          <w:lang w:eastAsia="en-US"/>
        </w:rPr>
        <w:t>muestra simple de orina es de</w:t>
      </w:r>
      <w:r w:rsidR="009144BC" w:rsidRPr="00D40080">
        <w:rPr>
          <w:rFonts w:eastAsiaTheme="minorHAnsi"/>
          <w:lang w:eastAsia="en-US"/>
        </w:rPr>
        <w:t xml:space="preserve"> </w:t>
      </w:r>
      <w:r w:rsidR="00EB04AA" w:rsidRPr="00D40080">
        <w:rPr>
          <w:rFonts w:eastAsiaTheme="minorHAnsi"/>
          <w:lang w:eastAsia="en-US"/>
        </w:rPr>
        <w:t>3 a 4%.</w:t>
      </w:r>
      <w:r w:rsidR="009D3224">
        <w:rPr>
          <w:rFonts w:eastAsiaTheme="minorHAnsi"/>
          <w:lang w:eastAsia="en-US"/>
        </w:rPr>
        <w:t xml:space="preserve"> (</w:t>
      </w:r>
      <w:r w:rsidR="009D3224" w:rsidRPr="00D40080">
        <w:rPr>
          <w:rFonts w:eastAsia="Calibri"/>
        </w:rPr>
        <w:t xml:space="preserve">Preciado, Cáceres, Beltrán </w:t>
      </w:r>
      <w:r w:rsidR="009D3224">
        <w:rPr>
          <w:rFonts w:eastAsia="Calibri"/>
        </w:rPr>
        <w:t>&amp;</w:t>
      </w:r>
      <w:r w:rsidR="009D3224" w:rsidRPr="00D40080">
        <w:rPr>
          <w:rFonts w:eastAsia="Calibri"/>
        </w:rPr>
        <w:t xml:space="preserve"> Ortiz</w:t>
      </w:r>
      <w:r w:rsidR="009D3224">
        <w:rPr>
          <w:rFonts w:eastAsia="Calibri"/>
        </w:rPr>
        <w:t xml:space="preserve">, 2015; </w:t>
      </w:r>
      <w:r w:rsidR="009D3224" w:rsidRPr="009D3224">
        <w:t xml:space="preserve">El </w:t>
      </w:r>
      <w:proofErr w:type="spellStart"/>
      <w:r w:rsidR="009D3224" w:rsidRPr="009D3224">
        <w:t>Shafie</w:t>
      </w:r>
      <w:proofErr w:type="spellEnd"/>
      <w:r w:rsidR="009D3224" w:rsidRPr="009D3224">
        <w:t xml:space="preserve">, El </w:t>
      </w:r>
      <w:proofErr w:type="spellStart"/>
      <w:r w:rsidR="009D3224" w:rsidRPr="009D3224">
        <w:t>Nemr</w:t>
      </w:r>
      <w:proofErr w:type="spellEnd"/>
      <w:r w:rsidR="009D3224" w:rsidRPr="009D3224">
        <w:t xml:space="preserve">, </w:t>
      </w:r>
      <w:proofErr w:type="spellStart"/>
      <w:r w:rsidR="009D3224" w:rsidRPr="009D3224">
        <w:t>Bahbah</w:t>
      </w:r>
      <w:proofErr w:type="spellEnd"/>
      <w:r w:rsidR="009D3224" w:rsidRPr="009D3224">
        <w:t xml:space="preserve">, </w:t>
      </w:r>
      <w:proofErr w:type="spellStart"/>
      <w:r w:rsidR="009D3224" w:rsidRPr="009D3224">
        <w:t>Shokry</w:t>
      </w:r>
      <w:proofErr w:type="spellEnd"/>
      <w:r w:rsidR="009D3224" w:rsidRPr="009D3224">
        <w:t xml:space="preserve"> &amp; </w:t>
      </w:r>
      <w:proofErr w:type="spellStart"/>
      <w:r w:rsidR="009D3224" w:rsidRPr="009D3224">
        <w:t>Attia</w:t>
      </w:r>
      <w:proofErr w:type="spellEnd"/>
      <w:r w:rsidR="009D3224" w:rsidRPr="009D3224">
        <w:t xml:space="preserve">, </w:t>
      </w:r>
      <w:r w:rsidR="009D3224">
        <w:t xml:space="preserve">2014; </w:t>
      </w:r>
      <w:r w:rsidR="009D3224" w:rsidRPr="000F6482">
        <w:rPr>
          <w:rFonts w:eastAsiaTheme="minorHAnsi"/>
          <w:lang w:eastAsia="en-US"/>
        </w:rPr>
        <w:t>Yamagata</w:t>
      </w:r>
      <w:r w:rsidR="009D3224">
        <w:rPr>
          <w:rFonts w:eastAsiaTheme="minorHAnsi"/>
          <w:lang w:eastAsia="en-US"/>
        </w:rPr>
        <w:t xml:space="preserve"> et al, 2008; </w:t>
      </w:r>
      <w:proofErr w:type="spellStart"/>
      <w:r w:rsidR="00F11691" w:rsidRPr="00F11691">
        <w:rPr>
          <w:rFonts w:eastAsiaTheme="minorHAnsi"/>
          <w:lang w:eastAsia="en-US"/>
        </w:rPr>
        <w:t>Cho</w:t>
      </w:r>
      <w:proofErr w:type="spellEnd"/>
      <w:r w:rsidR="00F11691" w:rsidRPr="00F11691">
        <w:rPr>
          <w:rFonts w:eastAsiaTheme="minorHAnsi"/>
          <w:lang w:eastAsia="en-US"/>
        </w:rPr>
        <w:t xml:space="preserve"> &amp; Kim, 2007) </w:t>
      </w:r>
      <w:r w:rsidR="009144BC" w:rsidRPr="00D40080">
        <w:rPr>
          <w:vertAlign w:val="superscript"/>
        </w:rPr>
        <w:t xml:space="preserve"> </w:t>
      </w:r>
      <w:r w:rsidR="00E25A8C" w:rsidRPr="00D40080">
        <w:t xml:space="preserve">La distribución por edad </w:t>
      </w:r>
      <w:r w:rsidR="009144BC" w:rsidRPr="00D40080">
        <w:t>fue de 46,</w:t>
      </w:r>
      <w:r w:rsidR="00DE5F3F" w:rsidRPr="00D40080">
        <w:t xml:space="preserve">02% en el </w:t>
      </w:r>
      <w:r w:rsidR="009144BC" w:rsidRPr="00D40080">
        <w:t>grupo de 5 a 10 años en nuestra in</w:t>
      </w:r>
      <w:r w:rsidR="00E25A8C" w:rsidRPr="00D40080">
        <w:t xml:space="preserve">vestigación </w:t>
      </w:r>
      <w:r w:rsidR="00DE5F3F" w:rsidRPr="00D40080">
        <w:t>coincidiendo con estos estudios: sin embargo e</w:t>
      </w:r>
      <w:r w:rsidR="00E25A8C" w:rsidRPr="00D40080">
        <w:t xml:space="preserve">l estudio </w:t>
      </w:r>
      <w:r w:rsidR="00DE5F3F" w:rsidRPr="00D40080">
        <w:t xml:space="preserve">realizado por </w:t>
      </w:r>
      <w:r w:rsidR="00E25A8C" w:rsidRPr="00D40080">
        <w:t>de la Rosa</w:t>
      </w:r>
      <w:r w:rsidR="00F11691">
        <w:t xml:space="preserve"> (</w:t>
      </w:r>
      <w:r w:rsidR="00F11691" w:rsidRPr="00D40080">
        <w:rPr>
          <w:rFonts w:eastAsia="Calibri"/>
        </w:rPr>
        <w:t xml:space="preserve">de la Rosa Brito, Guzmán </w:t>
      </w:r>
      <w:r w:rsidR="00F11691">
        <w:rPr>
          <w:rFonts w:eastAsia="Calibri"/>
        </w:rPr>
        <w:t>&amp;</w:t>
      </w:r>
      <w:r w:rsidR="00F11691" w:rsidRPr="00D40080">
        <w:rPr>
          <w:rFonts w:eastAsia="Calibri"/>
        </w:rPr>
        <w:t xml:space="preserve"> Rodríguez</w:t>
      </w:r>
      <w:r w:rsidR="00F11691">
        <w:t xml:space="preserve"> 2018)</w:t>
      </w:r>
      <w:r w:rsidR="00AA4208">
        <w:rPr>
          <w:vertAlign w:val="superscript"/>
        </w:rPr>
        <w:t xml:space="preserve"> </w:t>
      </w:r>
      <w:r w:rsidR="00E25A8C" w:rsidRPr="00D40080">
        <w:t xml:space="preserve">en República Dominicana </w:t>
      </w:r>
      <w:r w:rsidR="00DE5F3F" w:rsidRPr="00D40080">
        <w:t>predominó</w:t>
      </w:r>
      <w:r w:rsidR="00E25A8C" w:rsidRPr="00D40080">
        <w:t xml:space="preserve"> la edad </w:t>
      </w:r>
      <w:r w:rsidR="00DE5F3F" w:rsidRPr="00D40080">
        <w:t>prees</w:t>
      </w:r>
      <w:r w:rsidR="00B220A8" w:rsidRPr="00D40080">
        <w:t xml:space="preserve">colar, así como lo encontrado por </w:t>
      </w:r>
      <w:proofErr w:type="spellStart"/>
      <w:r w:rsidR="00B220A8" w:rsidRPr="00D40080">
        <w:t>Dang</w:t>
      </w:r>
      <w:proofErr w:type="spellEnd"/>
      <w:r w:rsidR="00F11691">
        <w:t xml:space="preserve"> </w:t>
      </w:r>
      <w:r w:rsidR="00F11691">
        <w:rPr>
          <w:vertAlign w:val="superscript"/>
        </w:rPr>
        <w:t xml:space="preserve"> </w:t>
      </w:r>
      <w:r w:rsidR="00B220A8" w:rsidRPr="00D40080">
        <w:t xml:space="preserve">y </w:t>
      </w:r>
      <w:proofErr w:type="spellStart"/>
      <w:r w:rsidR="00B220A8" w:rsidRPr="00D40080">
        <w:t>Tabada</w:t>
      </w:r>
      <w:proofErr w:type="spellEnd"/>
      <w:r w:rsidR="00F11691">
        <w:t>, (</w:t>
      </w:r>
      <w:proofErr w:type="spellStart"/>
      <w:r w:rsidR="00F11691" w:rsidRPr="00F11691">
        <w:rPr>
          <w:rFonts w:eastAsiaTheme="minorHAnsi"/>
          <w:iCs/>
          <w:lang w:eastAsia="en-US"/>
        </w:rPr>
        <w:t>Dang</w:t>
      </w:r>
      <w:proofErr w:type="spellEnd"/>
      <w:r w:rsidR="00F11691" w:rsidRPr="00F11691">
        <w:rPr>
          <w:rFonts w:eastAsiaTheme="minorHAnsi"/>
          <w:iCs/>
          <w:lang w:eastAsia="en-US"/>
        </w:rPr>
        <w:t xml:space="preserve"> et al, 2013; </w:t>
      </w:r>
      <w:r w:rsidR="00F11691">
        <w:t xml:space="preserve"> </w:t>
      </w:r>
      <w:proofErr w:type="spellStart"/>
      <w:r w:rsidR="00F11691" w:rsidRPr="00F11691">
        <w:rPr>
          <w:rFonts w:eastAsiaTheme="minorHAnsi"/>
          <w:iCs/>
          <w:lang w:eastAsia="en-US"/>
        </w:rPr>
        <w:t>Tabada</w:t>
      </w:r>
      <w:proofErr w:type="spellEnd"/>
      <w:r w:rsidR="00F11691">
        <w:rPr>
          <w:rFonts w:eastAsiaTheme="minorHAnsi"/>
          <w:iCs/>
          <w:lang w:eastAsia="en-US"/>
        </w:rPr>
        <w:t xml:space="preserve"> et al, 2017) </w:t>
      </w:r>
      <w:proofErr w:type="spellStart"/>
      <w:r w:rsidR="00F11691">
        <w:t>B</w:t>
      </w:r>
      <w:r w:rsidR="00CB20AB" w:rsidRPr="00D40080">
        <w:t>ignall</w:t>
      </w:r>
      <w:proofErr w:type="spellEnd"/>
      <w:r w:rsidR="00CB20AB" w:rsidRPr="00D40080">
        <w:t xml:space="preserve"> y Dixon plantean que la </w:t>
      </w:r>
      <w:r w:rsidR="008C6B7E" w:rsidRPr="00D40080">
        <w:t>hematuria es má</w:t>
      </w:r>
      <w:r w:rsidR="00CB20AB" w:rsidRPr="00D40080">
        <w:t>s frecuente</w:t>
      </w:r>
      <w:r w:rsidR="00B469C7" w:rsidRPr="00D40080">
        <w:t xml:space="preserve"> en hembras que en varones, </w:t>
      </w:r>
      <w:r w:rsidR="00F11691">
        <w:t>(</w:t>
      </w:r>
      <w:proofErr w:type="spellStart"/>
      <w:r w:rsidR="00F11691" w:rsidRPr="00F11691">
        <w:rPr>
          <w:rFonts w:eastAsiaTheme="minorHAnsi"/>
          <w:bCs/>
          <w:color w:val="000000"/>
          <w:lang w:eastAsia="en-US"/>
        </w:rPr>
        <w:t>Bignall</w:t>
      </w:r>
      <w:proofErr w:type="spellEnd"/>
      <w:r w:rsidR="00F11691" w:rsidRPr="00F11691">
        <w:rPr>
          <w:rFonts w:eastAsiaTheme="minorHAnsi"/>
          <w:bCs/>
          <w:color w:val="000000"/>
          <w:lang w:eastAsia="en-US"/>
        </w:rPr>
        <w:t xml:space="preserve"> &amp; Dixon, 2018)</w:t>
      </w:r>
      <w:r w:rsidR="00F11691">
        <w:rPr>
          <w:vertAlign w:val="superscript"/>
        </w:rPr>
        <w:t xml:space="preserve"> </w:t>
      </w:r>
      <w:r w:rsidR="00CB20AB" w:rsidRPr="00D40080">
        <w:t>esto no coincide con nuestro estudio en el que encontramos predominio del sexo masculino al igual que en un es</w:t>
      </w:r>
      <w:r w:rsidR="00041EAE" w:rsidRPr="00D40080">
        <w:t>tudio realizado en el oeste de Arabia S</w:t>
      </w:r>
      <w:r w:rsidR="00CB20AB" w:rsidRPr="00D40080">
        <w:t>audita en adolescentes donde existió pre</w:t>
      </w:r>
      <w:r w:rsidR="00041EAE" w:rsidRPr="00D40080">
        <w:t>d</w:t>
      </w:r>
      <w:r w:rsidR="00836182" w:rsidRPr="00D40080">
        <w:t>ominio del mismo sexo</w:t>
      </w:r>
      <w:r w:rsidR="00CB20AB" w:rsidRPr="00D40080">
        <w:t xml:space="preserve">. </w:t>
      </w:r>
      <w:r w:rsidR="00F11691">
        <w:t>(</w:t>
      </w:r>
      <w:proofErr w:type="spellStart"/>
      <w:r w:rsidR="00F11691" w:rsidRPr="00F11691">
        <w:rPr>
          <w:rFonts w:eastAsiaTheme="minorHAnsi"/>
          <w:iCs/>
          <w:lang w:eastAsia="en-US"/>
        </w:rPr>
        <w:t>Hothan</w:t>
      </w:r>
      <w:proofErr w:type="spellEnd"/>
      <w:r w:rsidR="00F11691" w:rsidRPr="00F11691">
        <w:rPr>
          <w:rFonts w:eastAsiaTheme="minorHAnsi"/>
          <w:iCs/>
          <w:lang w:eastAsia="en-US"/>
        </w:rPr>
        <w:t xml:space="preserve"> et al, 2016)</w:t>
      </w:r>
    </w:p>
    <w:p w:rsidR="00AC22EA" w:rsidRPr="00D40080" w:rsidRDefault="00667709" w:rsidP="00D82C9B">
      <w:pPr>
        <w:spacing w:before="240" w:after="240" w:line="360" w:lineRule="auto"/>
        <w:jc w:val="both"/>
        <w:rPr>
          <w:vertAlign w:val="superscript"/>
        </w:rPr>
      </w:pPr>
      <w:r w:rsidRPr="00D40080">
        <w:rPr>
          <w:rFonts w:eastAsiaTheme="minorHAnsi"/>
          <w:color w:val="000000"/>
          <w:lang w:eastAsia="en-US"/>
        </w:rPr>
        <w:t>La hematuria en el niño puede presentarse como un signo aislado o acompañada de otros síntomas l</w:t>
      </w:r>
      <w:r w:rsidRPr="00D40080">
        <w:rPr>
          <w:rFonts w:eastAsiaTheme="minorHAnsi"/>
          <w:lang w:eastAsia="en-US"/>
        </w:rPr>
        <w:t xml:space="preserve">os cuales pueden ser generales (fiebre, astenia, artralgias), renales (disuria, tenesmo, incontinencia urinaria, edema, </w:t>
      </w:r>
      <w:proofErr w:type="spellStart"/>
      <w:r w:rsidRPr="00D40080">
        <w:rPr>
          <w:rFonts w:eastAsiaTheme="minorHAnsi"/>
          <w:lang w:eastAsia="en-US"/>
        </w:rPr>
        <w:t>HTA</w:t>
      </w:r>
      <w:proofErr w:type="spellEnd"/>
      <w:r w:rsidRPr="00D40080">
        <w:rPr>
          <w:rFonts w:eastAsiaTheme="minorHAnsi"/>
          <w:lang w:eastAsia="en-US"/>
        </w:rPr>
        <w:t xml:space="preserve">) o </w:t>
      </w:r>
      <w:proofErr w:type="spellStart"/>
      <w:r w:rsidRPr="00D40080">
        <w:rPr>
          <w:rFonts w:eastAsiaTheme="minorHAnsi"/>
          <w:lang w:eastAsia="en-US"/>
        </w:rPr>
        <w:t>extrarrenales</w:t>
      </w:r>
      <w:proofErr w:type="spellEnd"/>
      <w:r w:rsidRPr="00D40080">
        <w:rPr>
          <w:rFonts w:eastAsiaTheme="minorHAnsi"/>
          <w:lang w:eastAsia="en-US"/>
        </w:rPr>
        <w:t xml:space="preserve"> (artritis, púrpura).</w:t>
      </w:r>
      <w:r w:rsidR="00F11691">
        <w:rPr>
          <w:rFonts w:eastAsiaTheme="minorHAnsi"/>
          <w:lang w:eastAsia="en-US"/>
        </w:rPr>
        <w:t xml:space="preserve"> (</w:t>
      </w:r>
      <w:proofErr w:type="spellStart"/>
      <w:r w:rsidR="00F11691" w:rsidRPr="00D40080">
        <w:rPr>
          <w:rFonts w:eastAsia="Calibri"/>
        </w:rPr>
        <w:t>Tauler</w:t>
      </w:r>
      <w:proofErr w:type="spellEnd"/>
      <w:r w:rsidR="00F11691" w:rsidRPr="00D40080">
        <w:rPr>
          <w:rFonts w:eastAsia="Calibri"/>
        </w:rPr>
        <w:t xml:space="preserve"> Girona</w:t>
      </w:r>
      <w:r w:rsidR="00F11691">
        <w:rPr>
          <w:rFonts w:eastAsia="Calibri"/>
        </w:rPr>
        <w:t xml:space="preserve">, 2013; </w:t>
      </w:r>
      <w:proofErr w:type="spellStart"/>
      <w:r w:rsidR="00F11691">
        <w:rPr>
          <w:rFonts w:eastAsia="Calibri"/>
        </w:rPr>
        <w:t>Tabada</w:t>
      </w:r>
      <w:proofErr w:type="spellEnd"/>
      <w:r w:rsidR="00F11691">
        <w:rPr>
          <w:rFonts w:eastAsia="Calibri"/>
        </w:rPr>
        <w:t xml:space="preserve"> et al, 2017)</w:t>
      </w:r>
      <w:r w:rsidR="009144BC" w:rsidRPr="00D40080">
        <w:rPr>
          <w:vertAlign w:val="superscript"/>
        </w:rPr>
        <w:t xml:space="preserve"> </w:t>
      </w:r>
      <w:r w:rsidRPr="00D40080">
        <w:rPr>
          <w:rFonts w:eastAsiaTheme="minorHAnsi"/>
          <w:lang w:eastAsia="en-US"/>
        </w:rPr>
        <w:t>En la mayoría de casos, servirán para establecer el diagnóstico. E</w:t>
      </w:r>
      <w:r w:rsidR="00DF6815" w:rsidRPr="00D40080">
        <w:rPr>
          <w:rFonts w:eastAsiaTheme="minorHAnsi"/>
          <w:color w:val="000000"/>
          <w:lang w:eastAsia="en-US"/>
        </w:rPr>
        <w:t xml:space="preserve">n nuestra serie la disuria 52.32% fue el más representativo, seguido del dolor lumbar 24.41%, </w:t>
      </w:r>
      <w:r w:rsidR="002738BF" w:rsidRPr="00D40080">
        <w:rPr>
          <w:rFonts w:eastAsiaTheme="minorHAnsi"/>
          <w:color w:val="000000"/>
          <w:lang w:eastAsia="en-US"/>
        </w:rPr>
        <w:t>similar a lo encontrado en la literatura.</w:t>
      </w:r>
      <w:r w:rsidR="00B042B9">
        <w:rPr>
          <w:rFonts w:eastAsiaTheme="minorHAnsi"/>
          <w:color w:val="000000"/>
          <w:lang w:eastAsia="en-US"/>
        </w:rPr>
        <w:t xml:space="preserve"> (</w:t>
      </w:r>
      <w:r w:rsidR="00B042B9" w:rsidRPr="00B042B9">
        <w:t xml:space="preserve">Pan </w:t>
      </w:r>
      <w:r w:rsidR="00B042B9">
        <w:rPr>
          <w:rFonts w:eastAsia="Calibri"/>
        </w:rPr>
        <w:t xml:space="preserve">&amp; </w:t>
      </w:r>
      <w:proofErr w:type="spellStart"/>
      <w:r w:rsidR="00B042B9" w:rsidRPr="00B042B9">
        <w:t>Avner</w:t>
      </w:r>
      <w:proofErr w:type="spellEnd"/>
      <w:r w:rsidR="00B042B9">
        <w:t xml:space="preserve">, 2016; </w:t>
      </w:r>
      <w:r w:rsidR="00B042B9" w:rsidRPr="00D40080">
        <w:t>Gordillo</w:t>
      </w:r>
      <w:r w:rsidR="00B042B9">
        <w:t xml:space="preserve">, 2010) </w:t>
      </w:r>
      <w:r w:rsidR="006F2F80" w:rsidRPr="00D40080">
        <w:rPr>
          <w:rFonts w:eastAsiaTheme="minorHAnsi"/>
          <w:lang w:eastAsia="en-US"/>
        </w:rPr>
        <w:t>La mayoría de los pacientes presentó disuria, tal condición es predominante</w:t>
      </w:r>
      <w:r w:rsidR="006F492F" w:rsidRPr="00D40080">
        <w:rPr>
          <w:rFonts w:eastAsiaTheme="minorHAnsi"/>
          <w:lang w:eastAsia="en-US"/>
        </w:rPr>
        <w:t xml:space="preserve"> </w:t>
      </w:r>
      <w:r w:rsidR="006F2F80" w:rsidRPr="00D40080">
        <w:rPr>
          <w:rFonts w:eastAsiaTheme="minorHAnsi"/>
          <w:lang w:eastAsia="en-US"/>
        </w:rPr>
        <w:t>en estudios publicados,</w:t>
      </w:r>
      <w:r w:rsidR="00B042B9">
        <w:rPr>
          <w:rFonts w:eastAsiaTheme="minorHAnsi"/>
          <w:lang w:eastAsia="en-US"/>
        </w:rPr>
        <w:t xml:space="preserve"> (</w:t>
      </w:r>
      <w:r w:rsidR="00B042B9" w:rsidRPr="00D40080">
        <w:rPr>
          <w:rFonts w:eastAsia="Calibri"/>
        </w:rPr>
        <w:t xml:space="preserve">de la Rosa Brito, Guzmán </w:t>
      </w:r>
      <w:r w:rsidR="00B042B9">
        <w:rPr>
          <w:rFonts w:eastAsia="Calibri"/>
        </w:rPr>
        <w:t>&amp;</w:t>
      </w:r>
      <w:r w:rsidR="00B042B9" w:rsidRPr="00D40080">
        <w:rPr>
          <w:rFonts w:eastAsia="Calibri"/>
        </w:rPr>
        <w:t xml:space="preserve"> Rodríguez</w:t>
      </w:r>
      <w:r w:rsidR="00B042B9">
        <w:rPr>
          <w:rFonts w:eastAsia="Calibri"/>
        </w:rPr>
        <w:t xml:space="preserve">, 2018; Estévez </w:t>
      </w:r>
      <w:r w:rsidR="00B042B9" w:rsidRPr="00D40080">
        <w:rPr>
          <w:rFonts w:eastAsia="Calibri"/>
        </w:rPr>
        <w:lastRenderedPageBreak/>
        <w:t>Capacho</w:t>
      </w:r>
      <w:r w:rsidR="00B042B9">
        <w:rPr>
          <w:rFonts w:eastAsia="Calibri"/>
        </w:rPr>
        <w:t xml:space="preserve">, Moreno </w:t>
      </w:r>
      <w:r w:rsidR="00B042B9" w:rsidRPr="00D40080">
        <w:rPr>
          <w:rFonts w:eastAsia="Calibri"/>
        </w:rPr>
        <w:t xml:space="preserve">Díaz </w:t>
      </w:r>
      <w:r w:rsidR="00B042B9">
        <w:rPr>
          <w:rFonts w:eastAsia="Calibri"/>
        </w:rPr>
        <w:t xml:space="preserve">&amp; Martínez </w:t>
      </w:r>
      <w:r w:rsidR="00B042B9" w:rsidRPr="00D40080">
        <w:rPr>
          <w:rFonts w:eastAsia="Calibri"/>
        </w:rPr>
        <w:t>Cáceres</w:t>
      </w:r>
      <w:r w:rsidR="00B042B9">
        <w:rPr>
          <w:rFonts w:eastAsia="Calibri"/>
        </w:rPr>
        <w:t xml:space="preserve">, 2015; </w:t>
      </w:r>
      <w:proofErr w:type="spellStart"/>
      <w:r w:rsidR="00B042B9" w:rsidRPr="00B042B9">
        <w:rPr>
          <w:rFonts w:eastAsiaTheme="minorHAnsi"/>
          <w:bCs/>
          <w:color w:val="000000"/>
          <w:lang w:eastAsia="en-US"/>
        </w:rPr>
        <w:t>Bignall</w:t>
      </w:r>
      <w:proofErr w:type="spellEnd"/>
      <w:r w:rsidR="00B042B9" w:rsidRPr="00B042B9">
        <w:rPr>
          <w:rFonts w:eastAsiaTheme="minorHAnsi"/>
          <w:bCs/>
          <w:color w:val="000000"/>
          <w:lang w:eastAsia="en-US"/>
        </w:rPr>
        <w:t xml:space="preserve"> &amp; Dixon, 2018)</w:t>
      </w:r>
      <w:r w:rsidR="006F492F" w:rsidRPr="00D40080">
        <w:rPr>
          <w:vertAlign w:val="superscript"/>
        </w:rPr>
        <w:t xml:space="preserve"> </w:t>
      </w:r>
      <w:r w:rsidR="00AA2F41" w:rsidRPr="00D40080">
        <w:rPr>
          <w:rFonts w:eastAsiaTheme="minorHAnsi"/>
          <w:lang w:eastAsia="en-US"/>
        </w:rPr>
        <w:t xml:space="preserve">relacionados </w:t>
      </w:r>
      <w:r w:rsidR="006F2F80" w:rsidRPr="00D40080">
        <w:rPr>
          <w:rFonts w:eastAsiaTheme="minorHAnsi"/>
          <w:lang w:eastAsia="en-US"/>
        </w:rPr>
        <w:t>con el diagnó</w:t>
      </w:r>
      <w:r w:rsidR="00AA2F41" w:rsidRPr="00D40080">
        <w:rPr>
          <w:rFonts w:eastAsiaTheme="minorHAnsi"/>
          <w:lang w:eastAsia="en-US"/>
        </w:rPr>
        <w:t xml:space="preserve">stico o </w:t>
      </w:r>
      <w:r w:rsidR="006F2F80" w:rsidRPr="00D40080">
        <w:rPr>
          <w:rFonts w:eastAsiaTheme="minorHAnsi"/>
          <w:lang w:eastAsia="en-US"/>
        </w:rPr>
        <w:t>sospecha de infección de ví</w:t>
      </w:r>
      <w:r w:rsidR="000E6720" w:rsidRPr="00D40080">
        <w:rPr>
          <w:rFonts w:eastAsiaTheme="minorHAnsi"/>
          <w:lang w:eastAsia="en-US"/>
        </w:rPr>
        <w:t>as urinarias,</w:t>
      </w:r>
      <w:r w:rsidR="00B042B9">
        <w:rPr>
          <w:rFonts w:eastAsiaTheme="minorHAnsi"/>
          <w:lang w:eastAsia="en-US"/>
        </w:rPr>
        <w:t xml:space="preserve"> (</w:t>
      </w:r>
      <w:r w:rsidR="00B042B9" w:rsidRPr="00D40080">
        <w:rPr>
          <w:rFonts w:eastAsia="Calibri"/>
        </w:rPr>
        <w:t xml:space="preserve">Camacho Cruz, Ramírez Torres, Rojas </w:t>
      </w:r>
      <w:proofErr w:type="spellStart"/>
      <w:r w:rsidR="00B042B9" w:rsidRPr="00D40080">
        <w:rPr>
          <w:rFonts w:eastAsia="Calibri"/>
        </w:rPr>
        <w:t>Rojas</w:t>
      </w:r>
      <w:proofErr w:type="spellEnd"/>
      <w:r w:rsidR="00B042B9" w:rsidRPr="00D40080">
        <w:rPr>
          <w:rFonts w:eastAsia="Calibri"/>
        </w:rPr>
        <w:t xml:space="preserve"> </w:t>
      </w:r>
      <w:r w:rsidR="00B042B9">
        <w:rPr>
          <w:rFonts w:eastAsia="Calibri"/>
        </w:rPr>
        <w:t>&amp;</w:t>
      </w:r>
      <w:r w:rsidR="00B042B9" w:rsidRPr="00D40080">
        <w:rPr>
          <w:rFonts w:eastAsia="Calibri"/>
        </w:rPr>
        <w:t xml:space="preserve"> Blanco Castro</w:t>
      </w:r>
      <w:r w:rsidR="00B042B9">
        <w:rPr>
          <w:rFonts w:eastAsia="Calibri"/>
        </w:rPr>
        <w:t xml:space="preserve">, 2018) </w:t>
      </w:r>
      <w:r w:rsidR="000E6720" w:rsidRPr="00D40080">
        <w:rPr>
          <w:rFonts w:eastAsiaTheme="minorHAnsi"/>
          <w:lang w:eastAsia="en-US"/>
        </w:rPr>
        <w:t>el esfuerzo físico</w:t>
      </w:r>
      <w:r w:rsidR="00B042B9">
        <w:rPr>
          <w:rFonts w:eastAsiaTheme="minorHAnsi"/>
          <w:lang w:eastAsia="en-US"/>
        </w:rPr>
        <w:t xml:space="preserve"> (</w:t>
      </w:r>
      <w:proofErr w:type="spellStart"/>
      <w:r w:rsidR="00B042B9" w:rsidRPr="00D40080">
        <w:rPr>
          <w:rFonts w:eastAsia="Calibri"/>
        </w:rPr>
        <w:t>Pinheiro</w:t>
      </w:r>
      <w:proofErr w:type="spellEnd"/>
      <w:r w:rsidR="00B042B9">
        <w:rPr>
          <w:rFonts w:eastAsia="Calibri"/>
        </w:rPr>
        <w:t xml:space="preserve">, 2015) </w:t>
      </w:r>
      <w:r w:rsidR="00AA2F41" w:rsidRPr="00D40080">
        <w:rPr>
          <w:rFonts w:eastAsiaTheme="minorHAnsi"/>
          <w:lang w:eastAsia="en-US"/>
        </w:rPr>
        <w:t xml:space="preserve">o la </w:t>
      </w:r>
      <w:proofErr w:type="spellStart"/>
      <w:r w:rsidR="00AA2F41" w:rsidRPr="00D40080">
        <w:rPr>
          <w:rFonts w:eastAsiaTheme="minorHAnsi"/>
          <w:lang w:eastAsia="en-US"/>
        </w:rPr>
        <w:t>Hipercalciuria</w:t>
      </w:r>
      <w:proofErr w:type="spellEnd"/>
      <w:r w:rsidR="00AA2F41" w:rsidRPr="00D40080">
        <w:rPr>
          <w:rFonts w:eastAsiaTheme="minorHAnsi"/>
          <w:lang w:eastAsia="en-US"/>
        </w:rPr>
        <w:t xml:space="preserve"> idiopática</w:t>
      </w:r>
      <w:r w:rsidR="00B042B9">
        <w:rPr>
          <w:rFonts w:eastAsiaTheme="minorHAnsi"/>
          <w:lang w:eastAsia="en-US"/>
        </w:rPr>
        <w:t xml:space="preserve"> </w:t>
      </w:r>
      <w:r w:rsidR="00FC66FE">
        <w:rPr>
          <w:rFonts w:eastAsiaTheme="minorHAnsi"/>
          <w:lang w:eastAsia="en-US"/>
        </w:rPr>
        <w:t>(</w:t>
      </w:r>
      <w:proofErr w:type="spellStart"/>
      <w:r w:rsidR="00FC66FE" w:rsidRPr="00D40080">
        <w:t>Gander</w:t>
      </w:r>
      <w:proofErr w:type="spellEnd"/>
      <w:r w:rsidR="00FC66FE" w:rsidRPr="00D40080">
        <w:t>,</w:t>
      </w:r>
      <w:r w:rsidR="00FC66FE">
        <w:t xml:space="preserve"> </w:t>
      </w:r>
      <w:r w:rsidR="00FC66FE" w:rsidRPr="00D40080">
        <w:t>Asensio,</w:t>
      </w:r>
      <w:r w:rsidR="00FC66FE">
        <w:t xml:space="preserve"> </w:t>
      </w:r>
      <w:r w:rsidR="00FC66FE" w:rsidRPr="00D40080">
        <w:t xml:space="preserve"> </w:t>
      </w:r>
      <w:proofErr w:type="spellStart"/>
      <w:r w:rsidR="00FC66FE" w:rsidRPr="00D40080">
        <w:t>Fatou</w:t>
      </w:r>
      <w:proofErr w:type="spellEnd"/>
      <w:r w:rsidR="00FC66FE" w:rsidRPr="00D40080">
        <w:t xml:space="preserve"> </w:t>
      </w:r>
      <w:r w:rsidR="00FC66FE">
        <w:t xml:space="preserve"> </w:t>
      </w:r>
      <w:r w:rsidR="00FC66FE" w:rsidRPr="00D40080">
        <w:t>Royo, Martin Osorio</w:t>
      </w:r>
      <w:r w:rsidR="00FC66FE">
        <w:t xml:space="preserve"> &amp;</w:t>
      </w:r>
      <w:r w:rsidR="00FC66FE" w:rsidRPr="00D40080">
        <w:t xml:space="preserve"> </w:t>
      </w:r>
      <w:proofErr w:type="spellStart"/>
      <w:r w:rsidR="00FC66FE" w:rsidRPr="00D40080">
        <w:t>Lloret</w:t>
      </w:r>
      <w:proofErr w:type="spellEnd"/>
      <w:r w:rsidR="00FC66FE">
        <w:t xml:space="preserve">, 2014; </w:t>
      </w:r>
      <w:r w:rsidR="00FC66FE" w:rsidRPr="00D40080">
        <w:rPr>
          <w:rFonts w:eastAsia="Calibri"/>
        </w:rPr>
        <w:t xml:space="preserve">Preciado, Cáceres, Beltrán </w:t>
      </w:r>
      <w:r w:rsidR="00FC66FE">
        <w:rPr>
          <w:rFonts w:eastAsia="Calibri"/>
        </w:rPr>
        <w:t>&amp;</w:t>
      </w:r>
      <w:r w:rsidR="00FC66FE" w:rsidRPr="00D40080">
        <w:rPr>
          <w:rFonts w:eastAsia="Calibri"/>
        </w:rPr>
        <w:t xml:space="preserve"> Ortiz</w:t>
      </w:r>
      <w:r w:rsidR="00FC66FE">
        <w:rPr>
          <w:rFonts w:eastAsia="Calibri"/>
        </w:rPr>
        <w:t xml:space="preserve">, 2015; </w:t>
      </w:r>
      <w:r w:rsidR="00FC66FE" w:rsidRPr="00FC66FE">
        <w:rPr>
          <w:rFonts w:eastAsiaTheme="minorHAnsi"/>
          <w:bCs/>
          <w:color w:val="000000"/>
          <w:lang w:eastAsia="en-US"/>
        </w:rPr>
        <w:t>Viteri &amp; Reid Adam, 2018)</w:t>
      </w:r>
      <w:r w:rsidR="000E6720" w:rsidRPr="00D40080">
        <w:rPr>
          <w:rFonts w:eastAsiaTheme="minorHAnsi"/>
          <w:vertAlign w:val="superscript"/>
          <w:lang w:eastAsia="en-US"/>
        </w:rPr>
        <w:t xml:space="preserve"> </w:t>
      </w:r>
      <w:r w:rsidR="00AA2F41" w:rsidRPr="00D40080">
        <w:rPr>
          <w:rFonts w:eastAsiaTheme="minorHAnsi"/>
          <w:lang w:eastAsia="en-US"/>
        </w:rPr>
        <w:t xml:space="preserve">que en nuestro centro no contamos con </w:t>
      </w:r>
      <w:proofErr w:type="spellStart"/>
      <w:r w:rsidR="00AA2F41" w:rsidRPr="00D40080">
        <w:rPr>
          <w:rFonts w:eastAsiaTheme="minorHAnsi"/>
          <w:lang w:eastAsia="en-US"/>
        </w:rPr>
        <w:t>screaning</w:t>
      </w:r>
      <w:proofErr w:type="spellEnd"/>
      <w:r w:rsidR="00AA2F41" w:rsidRPr="00D40080">
        <w:rPr>
          <w:rFonts w:eastAsiaTheme="minorHAnsi"/>
          <w:lang w:eastAsia="en-US"/>
        </w:rPr>
        <w:t xml:space="preserve"> para su estudio.</w:t>
      </w:r>
    </w:p>
    <w:p w:rsidR="00D05B39" w:rsidRPr="00D40080" w:rsidRDefault="00B345E5" w:rsidP="00D82C9B">
      <w:pPr>
        <w:spacing w:before="240" w:after="240" w:line="360" w:lineRule="auto"/>
        <w:jc w:val="both"/>
        <w:rPr>
          <w:vertAlign w:val="superscript"/>
        </w:rPr>
      </w:pPr>
      <w:r w:rsidRPr="00D40080">
        <w:rPr>
          <w:rFonts w:eastAsiaTheme="minorHAnsi"/>
          <w:color w:val="000000"/>
          <w:lang w:eastAsia="en-US"/>
        </w:rPr>
        <w:t xml:space="preserve">Es ampliamente </w:t>
      </w:r>
      <w:r w:rsidR="00D05B39" w:rsidRPr="00D40080">
        <w:rPr>
          <w:rFonts w:eastAsiaTheme="minorHAnsi"/>
          <w:color w:val="000000"/>
          <w:lang w:eastAsia="en-US"/>
        </w:rPr>
        <w:t>aceptada</w:t>
      </w:r>
      <w:r w:rsidRPr="00D40080">
        <w:rPr>
          <w:rFonts w:eastAsiaTheme="minorHAnsi"/>
          <w:color w:val="000000"/>
          <w:lang w:eastAsia="en-US"/>
        </w:rPr>
        <w:t xml:space="preserve"> la asociación entre fiebre y hematuria, en estudios clínicos realizados en niños febriles, sin conocida enfermedad renal, </w:t>
      </w:r>
      <w:r w:rsidR="006C2B6E" w:rsidRPr="00D40080">
        <w:rPr>
          <w:rFonts w:eastAsiaTheme="minorHAnsi"/>
          <w:color w:val="000000"/>
          <w:lang w:eastAsia="en-US"/>
        </w:rPr>
        <w:t>se evidenció el vínculo entre fiebre y hematuria microscópica transitoria en niños</w:t>
      </w:r>
      <w:r w:rsidR="00D05B39" w:rsidRPr="00D40080">
        <w:rPr>
          <w:rFonts w:eastAsiaTheme="minorHAnsi"/>
          <w:color w:val="000000"/>
          <w:lang w:eastAsia="en-US"/>
        </w:rPr>
        <w:t xml:space="preserve">, </w:t>
      </w:r>
      <w:r w:rsidR="00FC66FE">
        <w:rPr>
          <w:rFonts w:eastAsiaTheme="minorHAnsi"/>
          <w:color w:val="000000"/>
          <w:lang w:eastAsia="en-US"/>
        </w:rPr>
        <w:t>(</w:t>
      </w:r>
      <w:r w:rsidR="00FC66FE" w:rsidRPr="00FC66FE">
        <w:rPr>
          <w:rFonts w:eastAsia="Calibri"/>
          <w:noProof/>
        </w:rPr>
        <w:t>Schwartz,  Dista,  Shapiro &amp;  Waisman</w:t>
      </w:r>
      <w:r w:rsidR="00FC66FE">
        <w:rPr>
          <w:rFonts w:eastAsia="Calibri"/>
          <w:noProof/>
        </w:rPr>
        <w:t>, 2017)</w:t>
      </w:r>
      <w:r w:rsidR="006F492F" w:rsidRPr="00D40080">
        <w:rPr>
          <w:vertAlign w:val="superscript"/>
        </w:rPr>
        <w:t xml:space="preserve"> </w:t>
      </w:r>
      <w:r w:rsidR="00D05B39" w:rsidRPr="00D40080">
        <w:rPr>
          <w:rFonts w:eastAsiaTheme="minorHAnsi"/>
          <w:color w:val="000000"/>
          <w:lang w:eastAsia="en-US"/>
        </w:rPr>
        <w:t>en nuestro estudio no se comporta de la misma manera, quizás porque solo estudiamos a niños con hematuria macroscópica.</w:t>
      </w:r>
      <w:r w:rsidR="006C2B6E" w:rsidRPr="00D40080">
        <w:rPr>
          <w:rFonts w:eastAsiaTheme="minorHAnsi"/>
          <w:color w:val="000000"/>
          <w:lang w:eastAsia="en-US"/>
        </w:rPr>
        <w:t xml:space="preserve"> El mecanismo subyacente de esta asociación no </w:t>
      </w:r>
      <w:r w:rsidR="00D05B39" w:rsidRPr="00D40080">
        <w:rPr>
          <w:rFonts w:eastAsiaTheme="minorHAnsi"/>
          <w:color w:val="000000"/>
          <w:lang w:eastAsia="en-US"/>
        </w:rPr>
        <w:t>está</w:t>
      </w:r>
      <w:r w:rsidR="006C2B6E" w:rsidRPr="00D40080">
        <w:rPr>
          <w:rFonts w:eastAsiaTheme="minorHAnsi"/>
          <w:color w:val="000000"/>
          <w:lang w:eastAsia="en-US"/>
        </w:rPr>
        <w:t xml:space="preserve"> claro. Es conocido que los </w:t>
      </w:r>
      <w:r w:rsidR="00D05B39" w:rsidRPr="00D40080">
        <w:rPr>
          <w:rFonts w:eastAsiaTheme="minorHAnsi"/>
          <w:color w:val="000000"/>
          <w:lang w:eastAsia="en-US"/>
        </w:rPr>
        <w:t>glóbulos</w:t>
      </w:r>
      <w:r w:rsidR="006C2B6E" w:rsidRPr="00D40080">
        <w:rPr>
          <w:rFonts w:eastAsiaTheme="minorHAnsi"/>
          <w:color w:val="000000"/>
          <w:lang w:eastAsia="en-US"/>
        </w:rPr>
        <w:t xml:space="preserve"> rojos atraviesan la membrana glomerular en un </w:t>
      </w:r>
      <w:r w:rsidR="00D05B39" w:rsidRPr="00D40080">
        <w:rPr>
          <w:rFonts w:eastAsiaTheme="minorHAnsi"/>
          <w:color w:val="000000"/>
          <w:lang w:eastAsia="en-US"/>
        </w:rPr>
        <w:t>número</w:t>
      </w:r>
      <w:r w:rsidR="006C2B6E" w:rsidRPr="00D40080">
        <w:rPr>
          <w:rFonts w:eastAsiaTheme="minorHAnsi"/>
          <w:color w:val="000000"/>
          <w:lang w:eastAsia="en-US"/>
        </w:rPr>
        <w:t xml:space="preserve"> de condiciones clínicas, la fiebre quizás incrementa este fenómeno por incremento de la </w:t>
      </w:r>
      <w:r w:rsidR="00D05B39" w:rsidRPr="00D40080">
        <w:rPr>
          <w:rFonts w:eastAsiaTheme="minorHAnsi"/>
          <w:color w:val="000000"/>
          <w:lang w:eastAsia="en-US"/>
        </w:rPr>
        <w:t>permeabilidad de la membrana.</w:t>
      </w:r>
      <w:r w:rsidR="006F492F" w:rsidRPr="00D40080">
        <w:rPr>
          <w:rFonts w:eastAsiaTheme="minorHAnsi"/>
          <w:color w:val="000000"/>
          <w:lang w:eastAsia="en-US"/>
        </w:rPr>
        <w:t xml:space="preserve"> </w:t>
      </w:r>
      <w:r w:rsidR="00795EBC" w:rsidRPr="00D40080">
        <w:rPr>
          <w:rFonts w:eastAsiaTheme="minorHAnsi"/>
          <w:lang w:eastAsia="en-US"/>
        </w:rPr>
        <w:t>Ninguno de los pacientes estudiados presentó hipertensión arterial.</w:t>
      </w:r>
    </w:p>
    <w:p w:rsidR="00AC22EA" w:rsidRPr="00D40080" w:rsidRDefault="00C711A6" w:rsidP="00D82C9B">
      <w:pPr>
        <w:spacing w:before="240" w:after="240" w:line="360" w:lineRule="auto"/>
        <w:jc w:val="both"/>
        <w:rPr>
          <w:vertAlign w:val="superscript"/>
        </w:rPr>
      </w:pPr>
      <w:r w:rsidRPr="00D40080">
        <w:rPr>
          <w:rFonts w:eastAsiaTheme="minorHAnsi"/>
          <w:lang w:eastAsia="en-US"/>
        </w:rPr>
        <w:t xml:space="preserve">En los antecedentes personales, es importante registrar cualquier circunstancia cercana en el tiempo a la presencia de hematuria, como ingesta de fármacos, ejercicio, exantemas, artritis, infecciones </w:t>
      </w:r>
      <w:r w:rsidR="006E3371" w:rsidRPr="00D40080">
        <w:rPr>
          <w:rFonts w:eastAsiaTheme="minorHAnsi"/>
          <w:lang w:eastAsia="en-US"/>
        </w:rPr>
        <w:t>urinarias;</w:t>
      </w:r>
      <w:r w:rsidR="00FC66FE">
        <w:rPr>
          <w:rFonts w:eastAsiaTheme="minorHAnsi"/>
          <w:lang w:eastAsia="en-US"/>
        </w:rPr>
        <w:t xml:space="preserve"> (</w:t>
      </w:r>
      <w:r w:rsidR="00FC66FE" w:rsidRPr="00D40080">
        <w:rPr>
          <w:rFonts w:eastAsia="Calibri"/>
        </w:rPr>
        <w:t xml:space="preserve">Chacón Hernández </w:t>
      </w:r>
      <w:r w:rsidR="00FC66FE">
        <w:rPr>
          <w:rFonts w:eastAsia="Calibri"/>
        </w:rPr>
        <w:t>&amp;</w:t>
      </w:r>
      <w:r w:rsidR="00FC66FE" w:rsidRPr="00D40080">
        <w:rPr>
          <w:rFonts w:eastAsia="Calibri"/>
        </w:rPr>
        <w:t xml:space="preserve"> Delgado Arguedas</w:t>
      </w:r>
      <w:r w:rsidR="00FC66FE">
        <w:rPr>
          <w:rFonts w:eastAsia="Calibri"/>
        </w:rPr>
        <w:t>, 2015)</w:t>
      </w:r>
      <w:r w:rsidR="006F492F" w:rsidRPr="00D40080">
        <w:rPr>
          <w:vertAlign w:val="superscript"/>
        </w:rPr>
        <w:t xml:space="preserve"> </w:t>
      </w:r>
      <w:r w:rsidR="006E3371" w:rsidRPr="00D40080">
        <w:rPr>
          <w:rFonts w:eastAsiaTheme="minorHAnsi"/>
          <w:lang w:eastAsia="en-US"/>
        </w:rPr>
        <w:t xml:space="preserve">estos orientan hacia el diagnóstico en el paciente con hematuria. </w:t>
      </w:r>
      <w:r w:rsidR="00FC66FE">
        <w:rPr>
          <w:rFonts w:eastAsiaTheme="minorHAnsi"/>
          <w:lang w:eastAsia="en-US"/>
        </w:rPr>
        <w:t>(</w:t>
      </w:r>
      <w:proofErr w:type="spellStart"/>
      <w:r w:rsidR="00FC66FE" w:rsidRPr="00D40080">
        <w:rPr>
          <w:rFonts w:eastAsia="Calibri"/>
        </w:rPr>
        <w:t>Len</w:t>
      </w:r>
      <w:proofErr w:type="spellEnd"/>
      <w:r w:rsidR="00FC66FE" w:rsidRPr="00D40080">
        <w:rPr>
          <w:rFonts w:eastAsia="Calibri"/>
        </w:rPr>
        <w:t xml:space="preserve"> Aguilera </w:t>
      </w:r>
      <w:r w:rsidR="00FC66FE">
        <w:rPr>
          <w:rFonts w:eastAsia="Calibri"/>
        </w:rPr>
        <w:t>&amp;</w:t>
      </w:r>
      <w:r w:rsidR="00FC66FE" w:rsidRPr="00D40080">
        <w:rPr>
          <w:rFonts w:eastAsia="Calibri"/>
        </w:rPr>
        <w:t xml:space="preserve"> de la Mata Franco</w:t>
      </w:r>
      <w:r w:rsidR="00FC66FE">
        <w:rPr>
          <w:rFonts w:eastAsia="Calibri"/>
        </w:rPr>
        <w:t>, 2015</w:t>
      </w:r>
      <w:r w:rsidR="00A347EC">
        <w:rPr>
          <w:rFonts w:eastAsia="Calibri"/>
        </w:rPr>
        <w:t xml:space="preserve">; </w:t>
      </w:r>
      <w:r w:rsidR="00A347EC" w:rsidRPr="00A347EC">
        <w:t xml:space="preserve">Brown &amp; </w:t>
      </w:r>
      <w:proofErr w:type="spellStart"/>
      <w:r w:rsidR="00A347EC" w:rsidRPr="00A347EC">
        <w:t>Reidy</w:t>
      </w:r>
      <w:proofErr w:type="spellEnd"/>
      <w:r w:rsidR="00A347EC" w:rsidRPr="00A347EC">
        <w:t>, 2019</w:t>
      </w:r>
      <w:r w:rsidR="00FC66FE">
        <w:rPr>
          <w:rFonts w:eastAsia="Calibri"/>
        </w:rPr>
        <w:t>)</w:t>
      </w:r>
      <w:r w:rsidR="006F492F" w:rsidRPr="00D40080">
        <w:rPr>
          <w:vertAlign w:val="superscript"/>
        </w:rPr>
        <w:t xml:space="preserve"> </w:t>
      </w:r>
      <w:r w:rsidR="000C126E" w:rsidRPr="00D40080">
        <w:rPr>
          <w:rFonts w:eastAsiaTheme="minorHAnsi"/>
          <w:lang w:eastAsia="en-US"/>
        </w:rPr>
        <w:t xml:space="preserve">En este sentido en nuestro estudio interrogamos hacia cualquier antecedente </w:t>
      </w:r>
      <w:r w:rsidR="0056628E" w:rsidRPr="00D40080">
        <w:rPr>
          <w:rFonts w:eastAsiaTheme="minorHAnsi"/>
          <w:lang w:eastAsia="en-US"/>
        </w:rPr>
        <w:t>relacionados o no con la hematuria</w:t>
      </w:r>
      <w:r w:rsidR="00795EBC" w:rsidRPr="00D40080">
        <w:rPr>
          <w:rFonts w:eastAsiaTheme="minorHAnsi"/>
          <w:lang w:eastAsia="en-US"/>
        </w:rPr>
        <w:t>:</w:t>
      </w:r>
      <w:r w:rsidR="00795EBC" w:rsidRPr="00D40080">
        <w:rPr>
          <w:color w:val="000000"/>
        </w:rPr>
        <w:t xml:space="preserve"> con</w:t>
      </w:r>
      <w:r w:rsidR="00795EBC" w:rsidRPr="00D40080">
        <w:rPr>
          <w:color w:val="000000"/>
        </w:rPr>
        <w:softHyphen/>
        <w:t>sanguinidad, hiper</w:t>
      </w:r>
      <w:r w:rsidR="00795EBC" w:rsidRPr="00D40080">
        <w:rPr>
          <w:color w:val="000000"/>
        </w:rPr>
        <w:softHyphen/>
        <w:t>tensión arterial, insuficiencia renal crónica, diálisis o trasplante; especialmente se debe indagar en la historia de afectación renal con malformaciones asociadas, ya que muchas de las causas de proteinuria y hematu</w:t>
      </w:r>
      <w:r w:rsidR="00795EBC" w:rsidRPr="00D40080">
        <w:rPr>
          <w:color w:val="000000"/>
        </w:rPr>
        <w:softHyphen/>
        <w:t>ria pueden ser de origen hereditario y por razones genéticas; por esto, resulta importante hacer un buen interrogatorio a los padres sobre los antece</w:t>
      </w:r>
      <w:r w:rsidR="00795EBC" w:rsidRPr="00D40080">
        <w:rPr>
          <w:color w:val="000000"/>
        </w:rPr>
        <w:softHyphen/>
        <w:t>dentes heredo familiares del niño.</w:t>
      </w:r>
    </w:p>
    <w:p w:rsidR="009C55A7" w:rsidRPr="00D40080" w:rsidRDefault="00815DB2" w:rsidP="00D82C9B">
      <w:pPr>
        <w:spacing w:before="240" w:after="240" w:line="360" w:lineRule="auto"/>
        <w:jc w:val="both"/>
        <w:rPr>
          <w:vertAlign w:val="superscript"/>
        </w:rPr>
      </w:pPr>
      <w:r w:rsidRPr="00D40080">
        <w:rPr>
          <w:rFonts w:eastAsiaTheme="minorHAnsi"/>
          <w:color w:val="000000"/>
          <w:lang w:eastAsia="en-US"/>
        </w:rPr>
        <w:t xml:space="preserve">La ausencia de antecedentes patológicos personales caracterizó a los niños estudiados, 59.30%, </w:t>
      </w:r>
      <w:r w:rsidR="00BC2EA7" w:rsidRPr="00D40080">
        <w:rPr>
          <w:rFonts w:eastAsiaTheme="minorHAnsi"/>
          <w:color w:val="000000"/>
          <w:lang w:eastAsia="en-US"/>
        </w:rPr>
        <w:t>hallazgo similar a</w:t>
      </w:r>
      <w:r w:rsidRPr="00D40080">
        <w:rPr>
          <w:rFonts w:eastAsiaTheme="minorHAnsi"/>
          <w:color w:val="000000"/>
          <w:lang w:eastAsia="en-US"/>
        </w:rPr>
        <w:t xml:space="preserve">l estudio realizado en Colombia por </w:t>
      </w:r>
      <w:r w:rsidR="004748E2" w:rsidRPr="00D40080">
        <w:rPr>
          <w:rFonts w:eastAsiaTheme="minorHAnsi"/>
          <w:color w:val="000000"/>
          <w:lang w:eastAsia="en-US"/>
        </w:rPr>
        <w:t>Estévez</w:t>
      </w:r>
      <w:r w:rsidR="00852D83" w:rsidRPr="00D40080">
        <w:rPr>
          <w:rFonts w:eastAsiaTheme="minorHAnsi"/>
          <w:color w:val="000000"/>
          <w:lang w:eastAsia="en-US"/>
        </w:rPr>
        <w:t xml:space="preserve">- Capacho, </w:t>
      </w:r>
      <w:r w:rsidR="00FC66FE">
        <w:rPr>
          <w:rFonts w:eastAsiaTheme="minorHAnsi"/>
          <w:color w:val="000000"/>
          <w:lang w:eastAsia="en-US"/>
        </w:rPr>
        <w:t>(</w:t>
      </w:r>
      <w:r w:rsidR="00FC66FE">
        <w:rPr>
          <w:rFonts w:eastAsia="Calibri"/>
        </w:rPr>
        <w:t xml:space="preserve">Estévez </w:t>
      </w:r>
      <w:r w:rsidR="00FC66FE" w:rsidRPr="00D40080">
        <w:rPr>
          <w:rFonts w:eastAsia="Calibri"/>
        </w:rPr>
        <w:t>Capacho</w:t>
      </w:r>
      <w:r w:rsidR="00FC66FE">
        <w:rPr>
          <w:rFonts w:eastAsia="Calibri"/>
        </w:rPr>
        <w:t xml:space="preserve">, Moreno </w:t>
      </w:r>
      <w:r w:rsidR="00FC66FE" w:rsidRPr="00D40080">
        <w:rPr>
          <w:rFonts w:eastAsia="Calibri"/>
        </w:rPr>
        <w:t xml:space="preserve">Díaz </w:t>
      </w:r>
      <w:r w:rsidR="00FC66FE">
        <w:rPr>
          <w:rFonts w:eastAsia="Calibri"/>
        </w:rPr>
        <w:t xml:space="preserve">&amp; Martínez </w:t>
      </w:r>
      <w:r w:rsidR="00FC66FE" w:rsidRPr="00D40080">
        <w:rPr>
          <w:rFonts w:eastAsia="Calibri"/>
        </w:rPr>
        <w:t>Cáceres</w:t>
      </w:r>
      <w:r w:rsidR="00FC66FE">
        <w:rPr>
          <w:rFonts w:eastAsia="Calibri"/>
        </w:rPr>
        <w:t>, 2015)</w:t>
      </w:r>
      <w:r w:rsidR="003D5B5D" w:rsidRPr="00D40080">
        <w:rPr>
          <w:vertAlign w:val="superscript"/>
        </w:rPr>
        <w:t xml:space="preserve"> </w:t>
      </w:r>
      <w:r w:rsidRPr="00D40080">
        <w:rPr>
          <w:rFonts w:eastAsiaTheme="minorHAnsi"/>
          <w:color w:val="000000"/>
          <w:lang w:eastAsia="en-US"/>
        </w:rPr>
        <w:t xml:space="preserve">seguido </w:t>
      </w:r>
      <w:r w:rsidR="008E7D18" w:rsidRPr="00D40080">
        <w:rPr>
          <w:rFonts w:eastAsiaTheme="minorHAnsi"/>
          <w:color w:val="000000"/>
          <w:lang w:eastAsia="en-US"/>
        </w:rPr>
        <w:t xml:space="preserve">de </w:t>
      </w:r>
      <w:r w:rsidRPr="00D40080">
        <w:rPr>
          <w:rFonts w:eastAsiaTheme="minorHAnsi"/>
          <w:color w:val="000000"/>
          <w:lang w:eastAsia="en-US"/>
        </w:rPr>
        <w:t>a</w:t>
      </w:r>
      <w:r w:rsidR="009338E6" w:rsidRPr="00D40080">
        <w:rPr>
          <w:rFonts w:eastAsiaTheme="minorHAnsi"/>
          <w:color w:val="000000"/>
          <w:lang w:eastAsia="en-US"/>
        </w:rPr>
        <w:t>lgún tipo de traumatismo 18.61%, este resultado  no coincide con estudio previo realizado en nuestro país en el que aparecen la hematuria y las infecciones respiratorias asociadas como los de mayor frecuencia.</w:t>
      </w:r>
      <w:r w:rsidR="00FC66FE">
        <w:rPr>
          <w:rFonts w:eastAsiaTheme="minorHAnsi"/>
          <w:color w:val="000000"/>
          <w:lang w:eastAsia="en-US"/>
        </w:rPr>
        <w:t xml:space="preserve"> </w:t>
      </w:r>
      <w:r w:rsidR="00A347EC">
        <w:rPr>
          <w:rFonts w:eastAsiaTheme="minorHAnsi"/>
          <w:color w:val="000000"/>
          <w:lang w:eastAsia="en-US"/>
        </w:rPr>
        <w:t>(</w:t>
      </w:r>
      <w:r w:rsidR="00A347EC" w:rsidRPr="00D40080">
        <w:rPr>
          <w:rFonts w:eastAsiaTheme="minorHAnsi"/>
          <w:lang w:eastAsia="en-US"/>
        </w:rPr>
        <w:t xml:space="preserve">Campo Sánchez, Durán Álvarez, Hernández </w:t>
      </w:r>
      <w:proofErr w:type="spellStart"/>
      <w:r w:rsidR="00A347EC" w:rsidRPr="00D40080">
        <w:rPr>
          <w:rFonts w:eastAsiaTheme="minorHAnsi"/>
          <w:lang w:eastAsia="en-US"/>
        </w:rPr>
        <w:t>Hernández</w:t>
      </w:r>
      <w:proofErr w:type="spellEnd"/>
      <w:r w:rsidR="00A347EC" w:rsidRPr="00D40080">
        <w:rPr>
          <w:rFonts w:eastAsiaTheme="minorHAnsi"/>
          <w:lang w:eastAsia="en-US"/>
        </w:rPr>
        <w:t>, Sosa Palacio</w:t>
      </w:r>
      <w:r w:rsidR="00A347EC">
        <w:rPr>
          <w:rFonts w:eastAsiaTheme="minorHAnsi"/>
          <w:lang w:eastAsia="en-US"/>
        </w:rPr>
        <w:t>, 2019)</w:t>
      </w:r>
    </w:p>
    <w:p w:rsidR="006F492F" w:rsidRPr="00D40080" w:rsidRDefault="00BC2EA7" w:rsidP="00D82C9B">
      <w:pPr>
        <w:spacing w:before="240" w:after="240" w:line="360" w:lineRule="auto"/>
        <w:jc w:val="both"/>
        <w:rPr>
          <w:vertAlign w:val="superscript"/>
        </w:rPr>
      </w:pPr>
      <w:r w:rsidRPr="00D40080">
        <w:rPr>
          <w:rFonts w:eastAsiaTheme="minorHAnsi"/>
          <w:lang w:eastAsia="en-US"/>
        </w:rPr>
        <w:lastRenderedPageBreak/>
        <w:t>Es de interés del estudio conocer los antecedent</w:t>
      </w:r>
      <w:r w:rsidR="004F04B8" w:rsidRPr="00D40080">
        <w:rPr>
          <w:rFonts w:eastAsiaTheme="minorHAnsi"/>
          <w:lang w:eastAsia="en-US"/>
        </w:rPr>
        <w:t>e</w:t>
      </w:r>
      <w:r w:rsidRPr="00D40080">
        <w:rPr>
          <w:rFonts w:eastAsiaTheme="minorHAnsi"/>
          <w:lang w:eastAsia="en-US"/>
        </w:rPr>
        <w:t>s patológicos familiar</w:t>
      </w:r>
      <w:r w:rsidR="004F04B8" w:rsidRPr="00D40080">
        <w:rPr>
          <w:rFonts w:eastAsiaTheme="minorHAnsi"/>
          <w:lang w:eastAsia="en-US"/>
        </w:rPr>
        <w:t>e</w:t>
      </w:r>
      <w:r w:rsidRPr="00D40080">
        <w:rPr>
          <w:rFonts w:eastAsiaTheme="minorHAnsi"/>
          <w:lang w:eastAsia="en-US"/>
        </w:rPr>
        <w:t>s, se identificó</w:t>
      </w:r>
      <w:r w:rsidR="00AE55BD" w:rsidRPr="00D40080">
        <w:rPr>
          <w:rFonts w:eastAsiaTheme="minorHAnsi"/>
          <w:lang w:eastAsia="en-US"/>
        </w:rPr>
        <w:t xml:space="preserve"> la hipertensión arterial, también descritos en estudios previamente publicados</w:t>
      </w:r>
      <w:proofErr w:type="gramStart"/>
      <w:r w:rsidR="00AE55BD" w:rsidRPr="00D40080">
        <w:rPr>
          <w:rFonts w:eastAsiaTheme="minorHAnsi"/>
          <w:lang w:eastAsia="en-US"/>
        </w:rPr>
        <w:t>.</w:t>
      </w:r>
      <w:r w:rsidR="00A347EC">
        <w:rPr>
          <w:rFonts w:eastAsiaTheme="minorHAnsi"/>
          <w:lang w:eastAsia="en-US"/>
        </w:rPr>
        <w:t>(</w:t>
      </w:r>
      <w:proofErr w:type="gramEnd"/>
      <w:r w:rsidR="00A347EC" w:rsidRPr="00A347EC">
        <w:rPr>
          <w:rFonts w:eastAsia="Calibri"/>
        </w:rPr>
        <w:t xml:space="preserve"> </w:t>
      </w:r>
      <w:r w:rsidR="00A347EC" w:rsidRPr="00D40080">
        <w:rPr>
          <w:rFonts w:eastAsia="Calibri"/>
        </w:rPr>
        <w:t xml:space="preserve">Preciado, Cáceres, Beltrán </w:t>
      </w:r>
      <w:r w:rsidR="00A347EC">
        <w:rPr>
          <w:rFonts w:eastAsia="Calibri"/>
        </w:rPr>
        <w:t>&amp;</w:t>
      </w:r>
      <w:r w:rsidR="00A347EC" w:rsidRPr="00D40080">
        <w:rPr>
          <w:rFonts w:eastAsia="Calibri"/>
        </w:rPr>
        <w:t xml:space="preserve"> Ortiz</w:t>
      </w:r>
      <w:r w:rsidR="00A347EC">
        <w:rPr>
          <w:rFonts w:eastAsia="Calibri"/>
        </w:rPr>
        <w:t xml:space="preserve">, 2015; </w:t>
      </w:r>
      <w:r w:rsidR="00A05C97" w:rsidRPr="00D40080">
        <w:rPr>
          <w:rFonts w:eastAsia="Calibri"/>
        </w:rPr>
        <w:t xml:space="preserve">de la Rosa Brito, Guzmán </w:t>
      </w:r>
      <w:r w:rsidR="00A05C97">
        <w:rPr>
          <w:rFonts w:eastAsia="Calibri"/>
        </w:rPr>
        <w:t>&amp;</w:t>
      </w:r>
      <w:r w:rsidR="00A05C97" w:rsidRPr="00D40080">
        <w:rPr>
          <w:rFonts w:eastAsia="Calibri"/>
        </w:rPr>
        <w:t xml:space="preserve"> Rodríguez</w:t>
      </w:r>
      <w:r w:rsidR="00A05C97">
        <w:rPr>
          <w:rFonts w:eastAsia="Calibri"/>
        </w:rPr>
        <w:t>, 2018)</w:t>
      </w:r>
    </w:p>
    <w:p w:rsidR="00AC22EA" w:rsidRPr="00D40080" w:rsidRDefault="00AE55BD" w:rsidP="00D82C9B">
      <w:pPr>
        <w:autoSpaceDE w:val="0"/>
        <w:autoSpaceDN w:val="0"/>
        <w:adjustRightInd w:val="0"/>
        <w:spacing w:before="240" w:after="240" w:line="360" w:lineRule="auto"/>
        <w:jc w:val="both"/>
        <w:rPr>
          <w:rFonts w:eastAsiaTheme="minorHAnsi"/>
          <w:lang w:eastAsia="en-US"/>
        </w:rPr>
      </w:pPr>
      <w:r w:rsidRPr="00D40080">
        <w:rPr>
          <w:rFonts w:eastAsiaTheme="minorHAnsi"/>
          <w:lang w:eastAsia="en-US"/>
        </w:rPr>
        <w:t xml:space="preserve">En nuestra población adulta la hipertensión arterial tiene una </w:t>
      </w:r>
      <w:r w:rsidR="004F04B8" w:rsidRPr="00D40080">
        <w:rPr>
          <w:rFonts w:eastAsiaTheme="minorHAnsi"/>
          <w:lang w:eastAsia="en-US"/>
        </w:rPr>
        <w:t>alta incidencia y prevalencia y nuestro estudio no está lejos de esa realidad</w:t>
      </w:r>
      <w:r w:rsidR="00A05C97">
        <w:rPr>
          <w:rFonts w:eastAsiaTheme="minorHAnsi"/>
          <w:lang w:eastAsia="en-US"/>
        </w:rPr>
        <w:t xml:space="preserve">, pues se encontró </w:t>
      </w:r>
      <w:r w:rsidR="00B038C8">
        <w:rPr>
          <w:rFonts w:eastAsiaTheme="minorHAnsi"/>
          <w:lang w:eastAsia="en-US"/>
        </w:rPr>
        <w:t>en</w:t>
      </w:r>
      <w:r w:rsidR="00A05C97">
        <w:rPr>
          <w:rFonts w:eastAsiaTheme="minorHAnsi"/>
          <w:lang w:eastAsia="en-US"/>
        </w:rPr>
        <w:t xml:space="preserve"> el 54.65%</w:t>
      </w:r>
      <w:r w:rsidR="004F04B8" w:rsidRPr="00D40080">
        <w:rPr>
          <w:rFonts w:eastAsiaTheme="minorHAnsi"/>
          <w:lang w:eastAsia="en-US"/>
        </w:rPr>
        <w:t>. No se reconocen antecedentes en el 29.6 % de los pacientes y el 20.93 % presentaron antecedentes de alguna enfermedad renal.</w:t>
      </w:r>
    </w:p>
    <w:p w:rsidR="00A85FD2" w:rsidRPr="00D40080" w:rsidRDefault="002B31B7" w:rsidP="00D82C9B">
      <w:pPr>
        <w:spacing w:before="240" w:after="240" w:line="360" w:lineRule="auto"/>
        <w:jc w:val="both"/>
        <w:rPr>
          <w:vertAlign w:val="superscript"/>
        </w:rPr>
      </w:pPr>
      <w:r w:rsidRPr="00D40080">
        <w:rPr>
          <w:rFonts w:eastAsiaTheme="minorHAnsi"/>
          <w:lang w:eastAsia="en-US"/>
        </w:rPr>
        <w:t>Con respecto a</w:t>
      </w:r>
      <w:r w:rsidR="006F492F" w:rsidRPr="00D40080">
        <w:rPr>
          <w:rFonts w:eastAsiaTheme="minorHAnsi"/>
          <w:lang w:eastAsia="en-US"/>
        </w:rPr>
        <w:t xml:space="preserve"> </w:t>
      </w:r>
      <w:r w:rsidRPr="00D40080">
        <w:rPr>
          <w:rFonts w:eastAsiaTheme="minorHAnsi"/>
          <w:lang w:eastAsia="en-US"/>
        </w:rPr>
        <w:t>l</w:t>
      </w:r>
      <w:r w:rsidR="003031B2" w:rsidRPr="00D40080">
        <w:rPr>
          <w:rFonts w:eastAsiaTheme="minorHAnsi"/>
          <w:lang w:eastAsia="en-US"/>
        </w:rPr>
        <w:t>a</w:t>
      </w:r>
      <w:r w:rsidR="006F492F" w:rsidRPr="00D40080">
        <w:rPr>
          <w:rFonts w:eastAsiaTheme="minorHAnsi"/>
          <w:lang w:eastAsia="en-US"/>
        </w:rPr>
        <w:t xml:space="preserve"> </w:t>
      </w:r>
      <w:r w:rsidR="003031B2" w:rsidRPr="00D40080">
        <w:rPr>
          <w:rFonts w:eastAsiaTheme="minorHAnsi"/>
          <w:lang w:eastAsia="en-US"/>
        </w:rPr>
        <w:t>etiología</w:t>
      </w:r>
      <w:r w:rsidR="006F492F" w:rsidRPr="00D40080">
        <w:rPr>
          <w:rFonts w:eastAsiaTheme="minorHAnsi"/>
          <w:lang w:eastAsia="en-US"/>
        </w:rPr>
        <w:t xml:space="preserve"> </w:t>
      </w:r>
      <w:r w:rsidR="00D939AE" w:rsidRPr="00D40080">
        <w:rPr>
          <w:color w:val="000000"/>
        </w:rPr>
        <w:t>nuestra observación corrobora con los datos emi</w:t>
      </w:r>
      <w:r w:rsidR="00D939AE" w:rsidRPr="00D40080">
        <w:rPr>
          <w:color w:val="000000"/>
        </w:rPr>
        <w:softHyphen/>
        <w:t xml:space="preserve">tidos en diversos estudios donde se evidencia </w:t>
      </w:r>
      <w:r w:rsidR="003A2A59" w:rsidRPr="00D40080">
        <w:rPr>
          <w:rFonts w:eastAsiaTheme="minorHAnsi"/>
          <w:lang w:eastAsia="en-US"/>
        </w:rPr>
        <w:t xml:space="preserve">la hematuria no glomerular fue la que predominó </w:t>
      </w:r>
      <w:r w:rsidR="000F14BA" w:rsidRPr="00D40080">
        <w:rPr>
          <w:rFonts w:eastAsiaTheme="minorHAnsi"/>
          <w:lang w:eastAsia="en-US"/>
        </w:rPr>
        <w:t xml:space="preserve">47.68%, </w:t>
      </w:r>
      <w:r w:rsidR="00290254" w:rsidRPr="00D40080">
        <w:rPr>
          <w:rFonts w:eastAsiaTheme="minorHAnsi"/>
          <w:lang w:eastAsia="en-US"/>
        </w:rPr>
        <w:t>coincidiendo con los datos de la literatura mundial.</w:t>
      </w:r>
      <w:r w:rsidR="00B038C8">
        <w:rPr>
          <w:rFonts w:eastAsiaTheme="minorHAnsi"/>
          <w:lang w:eastAsia="en-US"/>
        </w:rPr>
        <w:t>(</w:t>
      </w:r>
      <w:r w:rsidR="00B038C8" w:rsidRPr="00B038C8">
        <w:rPr>
          <w:rFonts w:eastAsia="Calibri"/>
        </w:rPr>
        <w:t xml:space="preserve"> </w:t>
      </w:r>
      <w:r w:rsidR="00B038C8">
        <w:rPr>
          <w:rFonts w:eastAsia="Calibri"/>
        </w:rPr>
        <w:t xml:space="preserve">Estévez </w:t>
      </w:r>
      <w:r w:rsidR="00B038C8" w:rsidRPr="00D40080">
        <w:rPr>
          <w:rFonts w:eastAsia="Calibri"/>
        </w:rPr>
        <w:t>Capacho</w:t>
      </w:r>
      <w:r w:rsidR="00B038C8">
        <w:rPr>
          <w:rFonts w:eastAsia="Calibri"/>
        </w:rPr>
        <w:t xml:space="preserve">, Moreno </w:t>
      </w:r>
      <w:r w:rsidR="00B038C8" w:rsidRPr="00D40080">
        <w:rPr>
          <w:rFonts w:eastAsia="Calibri"/>
        </w:rPr>
        <w:t xml:space="preserve">Díaz </w:t>
      </w:r>
      <w:r w:rsidR="00B038C8">
        <w:rPr>
          <w:rFonts w:eastAsia="Calibri"/>
        </w:rPr>
        <w:t xml:space="preserve">&amp; Martínez </w:t>
      </w:r>
      <w:r w:rsidR="00B038C8" w:rsidRPr="00D40080">
        <w:rPr>
          <w:rFonts w:eastAsia="Calibri"/>
        </w:rPr>
        <w:t>Cáceres</w:t>
      </w:r>
      <w:r w:rsidR="00B038C8">
        <w:rPr>
          <w:rFonts w:eastAsia="Calibri"/>
        </w:rPr>
        <w:t xml:space="preserve">, 2015; </w:t>
      </w:r>
      <w:proofErr w:type="spellStart"/>
      <w:r w:rsidR="00B038C8" w:rsidRPr="00B038C8">
        <w:rPr>
          <w:rFonts w:eastAsiaTheme="minorHAnsi"/>
          <w:lang w:eastAsia="en-US"/>
        </w:rPr>
        <w:t>Moghtaderi</w:t>
      </w:r>
      <w:proofErr w:type="spellEnd"/>
      <w:r w:rsidR="00B038C8" w:rsidRPr="00B038C8">
        <w:rPr>
          <w:rFonts w:eastAsiaTheme="minorHAnsi"/>
          <w:lang w:eastAsia="en-US"/>
        </w:rPr>
        <w:t xml:space="preserve">, </w:t>
      </w:r>
      <w:proofErr w:type="spellStart"/>
      <w:r w:rsidR="00B038C8" w:rsidRPr="00B038C8">
        <w:rPr>
          <w:rFonts w:eastAsiaTheme="minorHAnsi"/>
          <w:lang w:eastAsia="en-US"/>
        </w:rPr>
        <w:t>Noohi</w:t>
      </w:r>
      <w:proofErr w:type="spellEnd"/>
      <w:r w:rsidR="00B038C8" w:rsidRPr="00B038C8">
        <w:rPr>
          <w:rFonts w:eastAsiaTheme="minorHAnsi"/>
          <w:lang w:eastAsia="en-US"/>
        </w:rPr>
        <w:t xml:space="preserve">, </w:t>
      </w:r>
      <w:proofErr w:type="spellStart"/>
      <w:r w:rsidR="00B038C8" w:rsidRPr="00B038C8">
        <w:rPr>
          <w:rFonts w:eastAsiaTheme="minorHAnsi"/>
          <w:lang w:eastAsia="en-US"/>
        </w:rPr>
        <w:t>Safaeyan</w:t>
      </w:r>
      <w:proofErr w:type="spellEnd"/>
      <w:r w:rsidR="00B038C8" w:rsidRPr="00B038C8">
        <w:rPr>
          <w:rFonts w:eastAsiaTheme="minorHAnsi"/>
          <w:lang w:eastAsia="en-US"/>
        </w:rPr>
        <w:t xml:space="preserve">, </w:t>
      </w:r>
      <w:proofErr w:type="spellStart"/>
      <w:r w:rsidR="00B038C8" w:rsidRPr="00B038C8">
        <w:rPr>
          <w:rFonts w:eastAsiaTheme="minorHAnsi"/>
          <w:lang w:eastAsia="en-US"/>
        </w:rPr>
        <w:t>Abbasi</w:t>
      </w:r>
      <w:proofErr w:type="spellEnd"/>
      <w:r w:rsidR="00B038C8" w:rsidRPr="00B038C8">
        <w:rPr>
          <w:rFonts w:eastAsiaTheme="minorHAnsi"/>
          <w:lang w:eastAsia="en-US"/>
        </w:rPr>
        <w:t xml:space="preserve">, </w:t>
      </w:r>
      <w:proofErr w:type="spellStart"/>
      <w:r w:rsidR="00B038C8" w:rsidRPr="00B038C8">
        <w:rPr>
          <w:rFonts w:eastAsiaTheme="minorHAnsi"/>
          <w:lang w:eastAsia="en-US"/>
        </w:rPr>
        <w:t>Sabsechian</w:t>
      </w:r>
      <w:proofErr w:type="spellEnd"/>
      <w:r w:rsidR="00B038C8" w:rsidRPr="00B038C8">
        <w:rPr>
          <w:rFonts w:eastAsiaTheme="minorHAnsi"/>
          <w:lang w:eastAsia="en-US"/>
        </w:rPr>
        <w:t xml:space="preserve"> &amp; </w:t>
      </w:r>
      <w:proofErr w:type="spellStart"/>
      <w:r w:rsidR="00B038C8" w:rsidRPr="00B038C8">
        <w:rPr>
          <w:rFonts w:eastAsiaTheme="minorHAnsi"/>
          <w:lang w:eastAsia="en-US"/>
        </w:rPr>
        <w:t>Meherkash</w:t>
      </w:r>
      <w:proofErr w:type="spellEnd"/>
      <w:r w:rsidR="00B038C8" w:rsidRPr="00B038C8">
        <w:rPr>
          <w:rFonts w:eastAsiaTheme="minorHAnsi"/>
          <w:lang w:eastAsia="en-US"/>
        </w:rPr>
        <w:t>, 2014)</w:t>
      </w:r>
      <w:r w:rsidR="00A85FD2" w:rsidRPr="00D40080">
        <w:rPr>
          <w:vertAlign w:val="superscript"/>
        </w:rPr>
        <w:t xml:space="preserve"> </w:t>
      </w:r>
      <w:r w:rsidR="006D14A5" w:rsidRPr="00D40080">
        <w:t xml:space="preserve">Los factores de riesgo incluyen </w:t>
      </w:r>
      <w:proofErr w:type="spellStart"/>
      <w:r w:rsidR="006D14A5" w:rsidRPr="00D40080">
        <w:t>hipercalciuria</w:t>
      </w:r>
      <w:proofErr w:type="spellEnd"/>
      <w:r w:rsidR="006D14A5" w:rsidRPr="00D40080">
        <w:t xml:space="preserve">, hipercalcemia, flujo urinario escaso secundario a obstrucción, padres consanguíneos, deshidratación crónica, algunas medicaciones e historia familiar de </w:t>
      </w:r>
      <w:proofErr w:type="spellStart"/>
      <w:r w:rsidR="006D14A5" w:rsidRPr="00D40080">
        <w:t>urolitiasis</w:t>
      </w:r>
      <w:proofErr w:type="spellEnd"/>
      <w:r w:rsidR="006D14A5" w:rsidRPr="00D40080">
        <w:t>.</w:t>
      </w:r>
      <w:r w:rsidR="00B038C8">
        <w:t xml:space="preserve"> (</w:t>
      </w:r>
      <w:r w:rsidR="00B038C8" w:rsidRPr="00D40080">
        <w:rPr>
          <w:rFonts w:eastAsia="Calibri"/>
        </w:rPr>
        <w:t xml:space="preserve">Pérez </w:t>
      </w:r>
      <w:proofErr w:type="spellStart"/>
      <w:r w:rsidR="00B038C8" w:rsidRPr="00D40080">
        <w:rPr>
          <w:rFonts w:eastAsia="Calibri"/>
        </w:rPr>
        <w:t>Basterrechea</w:t>
      </w:r>
      <w:proofErr w:type="spellEnd"/>
      <w:r w:rsidR="00B038C8" w:rsidRPr="00D40080">
        <w:rPr>
          <w:rFonts w:eastAsia="Calibri"/>
        </w:rPr>
        <w:t xml:space="preserve">, Méndez Sánchez, Martínez Suárez </w:t>
      </w:r>
      <w:r w:rsidR="00B038C8">
        <w:rPr>
          <w:rFonts w:eastAsia="Calibri"/>
        </w:rPr>
        <w:t>&amp;</w:t>
      </w:r>
      <w:r w:rsidR="00B038C8" w:rsidRPr="00D40080">
        <w:rPr>
          <w:rFonts w:eastAsia="Calibri"/>
        </w:rPr>
        <w:t xml:space="preserve"> Ordóñez Álvarez</w:t>
      </w:r>
      <w:r w:rsidR="00B038C8">
        <w:rPr>
          <w:rFonts w:eastAsia="Calibri"/>
        </w:rPr>
        <w:t>, 2016;</w:t>
      </w:r>
      <w:r w:rsidR="001D43EB" w:rsidRPr="001D43EB">
        <w:rPr>
          <w:rFonts w:eastAsiaTheme="minorHAnsi"/>
          <w:lang w:eastAsia="en-US"/>
        </w:rPr>
        <w:t xml:space="preserve"> </w:t>
      </w:r>
      <w:proofErr w:type="spellStart"/>
      <w:r w:rsidR="001D43EB" w:rsidRPr="001D43EB">
        <w:rPr>
          <w:rFonts w:eastAsiaTheme="minorHAnsi"/>
          <w:lang w:eastAsia="en-US"/>
        </w:rPr>
        <w:t>Issler</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Dufek</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Kleta</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Bockenhauer</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Smeulders</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Van’t</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Hoff</w:t>
      </w:r>
      <w:proofErr w:type="spellEnd"/>
      <w:r w:rsidR="001D43EB">
        <w:rPr>
          <w:rFonts w:eastAsiaTheme="minorHAnsi"/>
          <w:lang w:eastAsia="en-US"/>
        </w:rPr>
        <w:t>, 2017)</w:t>
      </w:r>
    </w:p>
    <w:p w:rsidR="000C5C7F" w:rsidRPr="00D40080" w:rsidRDefault="000F14BA" w:rsidP="00D82C9B">
      <w:pPr>
        <w:spacing w:before="240" w:after="240" w:line="360" w:lineRule="auto"/>
        <w:jc w:val="both"/>
        <w:rPr>
          <w:vertAlign w:val="superscript"/>
        </w:rPr>
      </w:pPr>
      <w:r w:rsidRPr="00D40080">
        <w:rPr>
          <w:rFonts w:eastAsiaTheme="minorHAnsi"/>
          <w:lang w:eastAsia="en-US"/>
        </w:rPr>
        <w:t xml:space="preserve">La hematuria postraumática representó el 22.9% de los casos, </w:t>
      </w:r>
      <w:r w:rsidR="009338E6" w:rsidRPr="00D40080">
        <w:rPr>
          <w:rFonts w:eastAsiaTheme="minorHAnsi"/>
          <w:color w:val="000000"/>
          <w:lang w:eastAsia="en-US"/>
        </w:rPr>
        <w:t xml:space="preserve">el tracto urinario de los niños es poco protegido y es por lo tanto, más vulnerable al trauma, e incluso traumatismos leves pueden provocar daños severos. Los músculos del torso están poco desarrollados, la parrilla costal y la columna vertebral están débiles y la capa de tejido graso perineal es delgada. El riñón en el niño es relativamente largo en comparación con las dimensiones del cuerpo y se encuentra desprotegida por el reborde costal. La delgadez del tejido que protege al riñón permite </w:t>
      </w:r>
      <w:proofErr w:type="spellStart"/>
      <w:r w:rsidR="009338E6" w:rsidRPr="00D40080">
        <w:rPr>
          <w:rFonts w:eastAsiaTheme="minorHAnsi"/>
          <w:color w:val="000000"/>
          <w:lang w:eastAsia="en-US"/>
        </w:rPr>
        <w:t>hipermobilidad</w:t>
      </w:r>
      <w:proofErr w:type="spellEnd"/>
      <w:r w:rsidR="009338E6" w:rsidRPr="00D40080">
        <w:rPr>
          <w:rFonts w:eastAsiaTheme="minorHAnsi"/>
          <w:color w:val="000000"/>
          <w:lang w:eastAsia="en-US"/>
        </w:rPr>
        <w:t xml:space="preserve"> de este y la desaceleración en el trauma falla quizás inducida por la severa tensión sobre el pedículo renal, causando daño vascular, en casos graves trombosis e incluso avulsión del pedículo. Los traumatismos del tracto urinario inferior están relacionados con montar bicicleta y trepar a</w:t>
      </w:r>
      <w:r w:rsidR="000C5C7F" w:rsidRPr="00D40080">
        <w:rPr>
          <w:rFonts w:eastAsiaTheme="minorHAnsi"/>
          <w:color w:val="000000"/>
          <w:lang w:eastAsia="en-US"/>
        </w:rPr>
        <w:t xml:space="preserve"> los á</w:t>
      </w:r>
      <w:r w:rsidR="009338E6" w:rsidRPr="00D40080">
        <w:rPr>
          <w:rFonts w:eastAsiaTheme="minorHAnsi"/>
          <w:color w:val="000000"/>
          <w:lang w:eastAsia="en-US"/>
        </w:rPr>
        <w:t>rboles y la tendencia que tienen los niños de posponer la micción durante los juegos. Algunos autores describen la presencia de hematuria en los traumas abdominales hasta en un 90%;</w:t>
      </w:r>
      <w:r w:rsidR="001D43EB">
        <w:rPr>
          <w:rFonts w:eastAsiaTheme="minorHAnsi"/>
          <w:color w:val="000000"/>
          <w:lang w:eastAsia="en-US"/>
        </w:rPr>
        <w:t xml:space="preserve"> (</w:t>
      </w:r>
      <w:r w:rsidR="001D43EB" w:rsidRPr="00D40080">
        <w:rPr>
          <w:rFonts w:eastAsia="Calibri"/>
        </w:rPr>
        <w:t xml:space="preserve">Chacón Hernández </w:t>
      </w:r>
      <w:r w:rsidR="001D43EB">
        <w:rPr>
          <w:rFonts w:eastAsia="Calibri"/>
        </w:rPr>
        <w:t>&amp;</w:t>
      </w:r>
      <w:r w:rsidR="001D43EB" w:rsidRPr="00D40080">
        <w:rPr>
          <w:rFonts w:eastAsia="Calibri"/>
        </w:rPr>
        <w:t xml:space="preserve"> Delgado Arguedas</w:t>
      </w:r>
      <w:r w:rsidR="001D43EB">
        <w:rPr>
          <w:rFonts w:eastAsia="Calibri"/>
        </w:rPr>
        <w:t>, 2015</w:t>
      </w:r>
      <w:r w:rsidR="001D43EB" w:rsidRPr="00D40080">
        <w:rPr>
          <w:rFonts w:eastAsia="Calibri"/>
        </w:rPr>
        <w:t xml:space="preserve"> </w:t>
      </w:r>
      <w:proofErr w:type="spellStart"/>
      <w:r w:rsidR="001D43EB" w:rsidRPr="001D43EB">
        <w:rPr>
          <w:rFonts w:eastAsiaTheme="minorHAnsi"/>
          <w:lang w:eastAsia="en-US"/>
        </w:rPr>
        <w:t>Halachmi</w:t>
      </w:r>
      <w:proofErr w:type="spellEnd"/>
      <w:r w:rsidR="001D43EB" w:rsidRPr="001D43EB">
        <w:rPr>
          <w:rFonts w:eastAsiaTheme="minorHAnsi"/>
          <w:lang w:eastAsia="en-US"/>
        </w:rPr>
        <w:t xml:space="preserve">, </w:t>
      </w:r>
      <w:proofErr w:type="spellStart"/>
      <w:r w:rsidR="001D43EB" w:rsidRPr="001D43EB">
        <w:rPr>
          <w:rFonts w:eastAsiaTheme="minorHAnsi"/>
          <w:lang w:eastAsia="en-US"/>
        </w:rPr>
        <w:t>Kakiashvili</w:t>
      </w:r>
      <w:proofErr w:type="spellEnd"/>
      <w:r w:rsidR="001D43EB">
        <w:rPr>
          <w:rFonts w:eastAsiaTheme="minorHAnsi"/>
          <w:lang w:eastAsia="en-US"/>
        </w:rPr>
        <w:t xml:space="preserve"> &amp;</w:t>
      </w:r>
      <w:r w:rsidR="001D43EB" w:rsidRPr="001D43EB">
        <w:rPr>
          <w:rFonts w:eastAsiaTheme="minorHAnsi"/>
          <w:lang w:eastAsia="en-US"/>
        </w:rPr>
        <w:t xml:space="preserve">, </w:t>
      </w:r>
      <w:proofErr w:type="spellStart"/>
      <w:r w:rsidR="001D43EB" w:rsidRPr="001D43EB">
        <w:rPr>
          <w:rFonts w:eastAsiaTheme="minorHAnsi"/>
          <w:lang w:eastAsia="en-US"/>
        </w:rPr>
        <w:t>Meretyk</w:t>
      </w:r>
      <w:proofErr w:type="spellEnd"/>
      <w:r w:rsidR="001D43EB">
        <w:rPr>
          <w:rFonts w:eastAsiaTheme="minorHAnsi"/>
          <w:lang w:eastAsia="en-US"/>
        </w:rPr>
        <w:t>, 2016)</w:t>
      </w:r>
      <w:r w:rsidR="001D43EB">
        <w:rPr>
          <w:vertAlign w:val="superscript"/>
        </w:rPr>
        <w:t xml:space="preserve"> </w:t>
      </w:r>
      <w:r w:rsidR="009338E6" w:rsidRPr="00D40080">
        <w:rPr>
          <w:rFonts w:eastAsiaTheme="minorHAnsi"/>
          <w:color w:val="000000"/>
          <w:lang w:eastAsia="en-US"/>
        </w:rPr>
        <w:t>aunque l</w:t>
      </w:r>
      <w:r w:rsidR="00EB04AA" w:rsidRPr="00D40080">
        <w:rPr>
          <w:rFonts w:eastAsiaTheme="minorHAnsi"/>
          <w:lang w:eastAsia="en-US"/>
        </w:rPr>
        <w:t>a presencia de hematuria no significa necesariamente</w:t>
      </w:r>
      <w:r w:rsidR="001D43EB">
        <w:rPr>
          <w:rFonts w:eastAsiaTheme="minorHAnsi"/>
          <w:lang w:eastAsia="en-US"/>
        </w:rPr>
        <w:t xml:space="preserve"> </w:t>
      </w:r>
      <w:r w:rsidR="00EB04AA" w:rsidRPr="00D40080">
        <w:rPr>
          <w:rFonts w:eastAsiaTheme="minorHAnsi"/>
          <w:lang w:eastAsia="en-US"/>
        </w:rPr>
        <w:t>la confirmación de una situación patológica</w:t>
      </w:r>
      <w:r w:rsidR="009C61A1" w:rsidRPr="00D40080">
        <w:rPr>
          <w:rFonts w:eastAsiaTheme="minorHAnsi"/>
          <w:lang w:eastAsia="en-US"/>
        </w:rPr>
        <w:t xml:space="preserve">, </w:t>
      </w:r>
      <w:r w:rsidR="009338E6" w:rsidRPr="00D40080">
        <w:rPr>
          <w:rFonts w:eastAsiaTheme="minorHAnsi"/>
          <w:lang w:eastAsia="en-US"/>
        </w:rPr>
        <w:t xml:space="preserve">pues </w:t>
      </w:r>
      <w:r w:rsidR="00EB04AA" w:rsidRPr="00D40080">
        <w:rPr>
          <w:rFonts w:eastAsiaTheme="minorHAnsi"/>
          <w:lang w:eastAsia="en-US"/>
        </w:rPr>
        <w:t xml:space="preserve"> esfuerzos violentos o continuados</w:t>
      </w:r>
      <w:r w:rsidR="001D43EB">
        <w:rPr>
          <w:rFonts w:eastAsiaTheme="minorHAnsi"/>
          <w:lang w:eastAsia="en-US"/>
        </w:rPr>
        <w:t xml:space="preserve"> </w:t>
      </w:r>
      <w:r w:rsidR="00EB04AA" w:rsidRPr="00D40080">
        <w:rPr>
          <w:rFonts w:eastAsiaTheme="minorHAnsi"/>
          <w:lang w:eastAsia="en-US"/>
        </w:rPr>
        <w:t>por parte del niño pueden originar hematurias</w:t>
      </w:r>
      <w:r w:rsidR="001D43EB">
        <w:rPr>
          <w:rFonts w:eastAsiaTheme="minorHAnsi"/>
          <w:lang w:eastAsia="en-US"/>
        </w:rPr>
        <w:t xml:space="preserve"> </w:t>
      </w:r>
      <w:r w:rsidR="00EB04AA" w:rsidRPr="00D40080">
        <w:rPr>
          <w:rFonts w:eastAsiaTheme="minorHAnsi"/>
          <w:lang w:eastAsia="en-US"/>
        </w:rPr>
        <w:t>denominadas fisiológicas.</w:t>
      </w:r>
      <w:r w:rsidR="001D43EB">
        <w:rPr>
          <w:rFonts w:eastAsiaTheme="minorHAnsi"/>
          <w:lang w:eastAsia="en-US"/>
        </w:rPr>
        <w:t xml:space="preserve"> (</w:t>
      </w:r>
      <w:r w:rsidR="001D43EB" w:rsidRPr="00D40080">
        <w:rPr>
          <w:rFonts w:eastAsia="Calibri"/>
        </w:rPr>
        <w:t xml:space="preserve">Pérez </w:t>
      </w:r>
      <w:proofErr w:type="spellStart"/>
      <w:r w:rsidR="001D43EB" w:rsidRPr="00D40080">
        <w:rPr>
          <w:rFonts w:eastAsia="Calibri"/>
        </w:rPr>
        <w:t>Basterrechea</w:t>
      </w:r>
      <w:proofErr w:type="spellEnd"/>
      <w:r w:rsidR="001D43EB" w:rsidRPr="00D40080">
        <w:rPr>
          <w:rFonts w:eastAsia="Calibri"/>
        </w:rPr>
        <w:t xml:space="preserve">, Méndez Sánchez, Martínez Suárez </w:t>
      </w:r>
      <w:r w:rsidR="001D43EB">
        <w:rPr>
          <w:rFonts w:eastAsia="Calibri"/>
        </w:rPr>
        <w:t>&amp;</w:t>
      </w:r>
      <w:r w:rsidR="001D43EB" w:rsidRPr="00D40080">
        <w:rPr>
          <w:rFonts w:eastAsia="Calibri"/>
        </w:rPr>
        <w:t xml:space="preserve"> Ordóñez Álvarez</w:t>
      </w:r>
      <w:r w:rsidR="001D43EB">
        <w:rPr>
          <w:rFonts w:eastAsia="Calibri"/>
        </w:rPr>
        <w:t>, 2016)</w:t>
      </w:r>
    </w:p>
    <w:p w:rsidR="0062690C" w:rsidRPr="00D40080" w:rsidRDefault="00052DB5" w:rsidP="00D82C9B">
      <w:pPr>
        <w:autoSpaceDE w:val="0"/>
        <w:autoSpaceDN w:val="0"/>
        <w:adjustRightInd w:val="0"/>
        <w:spacing w:before="240" w:after="240" w:line="360" w:lineRule="auto"/>
        <w:jc w:val="both"/>
        <w:rPr>
          <w:rFonts w:eastAsiaTheme="minorHAnsi"/>
          <w:lang w:eastAsia="en-US"/>
        </w:rPr>
      </w:pPr>
      <w:r w:rsidRPr="00D40080">
        <w:rPr>
          <w:rFonts w:eastAsiaTheme="minorHAnsi"/>
          <w:lang w:eastAsia="en-US"/>
        </w:rPr>
        <w:t>E</w:t>
      </w:r>
      <w:r w:rsidR="00D939AE" w:rsidRPr="00D40080">
        <w:rPr>
          <w:rFonts w:eastAsiaTheme="minorHAnsi"/>
          <w:lang w:eastAsia="en-US"/>
        </w:rPr>
        <w:t>ste estudio</w:t>
      </w:r>
      <w:r w:rsidR="00020E45" w:rsidRPr="00D40080">
        <w:rPr>
          <w:rFonts w:eastAsiaTheme="minorHAnsi"/>
          <w:lang w:eastAsia="en-US"/>
        </w:rPr>
        <w:t xml:space="preserve"> abre la puerta a más estudios en los pacientes</w:t>
      </w:r>
      <w:r w:rsidR="00C41613" w:rsidRPr="00D40080">
        <w:rPr>
          <w:rFonts w:eastAsiaTheme="minorHAnsi"/>
          <w:lang w:eastAsia="en-US"/>
        </w:rPr>
        <w:t xml:space="preserve"> </w:t>
      </w:r>
      <w:r w:rsidR="00020E45" w:rsidRPr="00D40080">
        <w:rPr>
          <w:rFonts w:eastAsiaTheme="minorHAnsi"/>
          <w:lang w:eastAsia="en-US"/>
        </w:rPr>
        <w:t>de esta serie y describir a mediano y largo plazo, posibles</w:t>
      </w:r>
      <w:r w:rsidR="00C41613" w:rsidRPr="00D40080">
        <w:rPr>
          <w:rFonts w:eastAsiaTheme="minorHAnsi"/>
          <w:lang w:eastAsia="en-US"/>
        </w:rPr>
        <w:t xml:space="preserve"> </w:t>
      </w:r>
      <w:r w:rsidR="00020E45" w:rsidRPr="00D40080">
        <w:rPr>
          <w:rFonts w:eastAsiaTheme="minorHAnsi"/>
          <w:lang w:eastAsia="en-US"/>
        </w:rPr>
        <w:t>desenlaces. Dentro de las limitaciones importantes del</w:t>
      </w:r>
      <w:r w:rsidR="00C41613" w:rsidRPr="00D40080">
        <w:rPr>
          <w:rFonts w:eastAsiaTheme="minorHAnsi"/>
          <w:lang w:eastAsia="en-US"/>
        </w:rPr>
        <w:t xml:space="preserve"> </w:t>
      </w:r>
      <w:r w:rsidR="00020E45" w:rsidRPr="00D40080">
        <w:rPr>
          <w:rFonts w:eastAsiaTheme="minorHAnsi"/>
          <w:lang w:eastAsia="en-US"/>
        </w:rPr>
        <w:t xml:space="preserve">estudio fue la pérdida </w:t>
      </w:r>
      <w:r w:rsidR="00020E45" w:rsidRPr="00D40080">
        <w:rPr>
          <w:rFonts w:eastAsiaTheme="minorHAnsi"/>
          <w:lang w:eastAsia="en-US"/>
        </w:rPr>
        <w:lastRenderedPageBreak/>
        <w:t>de pacientes del seguimiento posterior.</w:t>
      </w:r>
      <w:r w:rsidR="00C41613" w:rsidRPr="00D40080">
        <w:rPr>
          <w:rFonts w:eastAsiaTheme="minorHAnsi"/>
          <w:lang w:eastAsia="en-US"/>
        </w:rPr>
        <w:t xml:space="preserve"> </w:t>
      </w:r>
      <w:r w:rsidR="00020E45" w:rsidRPr="00D40080">
        <w:rPr>
          <w:rFonts w:eastAsiaTheme="minorHAnsi"/>
          <w:lang w:eastAsia="en-US"/>
        </w:rPr>
        <w:t>Otra de las limitaciones en la orientación del enfoque de</w:t>
      </w:r>
      <w:r w:rsidR="00C41613" w:rsidRPr="00D40080">
        <w:rPr>
          <w:rFonts w:eastAsiaTheme="minorHAnsi"/>
          <w:lang w:eastAsia="en-US"/>
        </w:rPr>
        <w:t xml:space="preserve"> </w:t>
      </w:r>
      <w:r w:rsidR="00020E45" w:rsidRPr="00D40080">
        <w:rPr>
          <w:rFonts w:eastAsiaTheme="minorHAnsi"/>
          <w:lang w:eastAsia="en-US"/>
        </w:rPr>
        <w:t>hematuria glomerular versu</w:t>
      </w:r>
      <w:r w:rsidR="00D939AE" w:rsidRPr="00D40080">
        <w:rPr>
          <w:rFonts w:eastAsiaTheme="minorHAnsi"/>
          <w:lang w:eastAsia="en-US"/>
        </w:rPr>
        <w:t>s no glomerular.</w:t>
      </w:r>
    </w:p>
    <w:p w:rsidR="00AC22EA" w:rsidRPr="00D40080" w:rsidRDefault="00AA4208" w:rsidP="00D82C9B">
      <w:pPr>
        <w:autoSpaceDE w:val="0"/>
        <w:autoSpaceDN w:val="0"/>
        <w:adjustRightInd w:val="0"/>
        <w:spacing w:before="240" w:after="240" w:line="360" w:lineRule="auto"/>
        <w:jc w:val="both"/>
        <w:rPr>
          <w:rFonts w:eastAsiaTheme="minorHAnsi"/>
          <w:b/>
          <w:color w:val="373435"/>
          <w:lang w:eastAsia="en-US"/>
        </w:rPr>
      </w:pPr>
      <w:r w:rsidRPr="00D40080">
        <w:rPr>
          <w:rFonts w:eastAsiaTheme="minorHAnsi"/>
          <w:b/>
          <w:color w:val="373435"/>
          <w:lang w:eastAsia="en-US"/>
        </w:rPr>
        <w:t>Conclusiones</w:t>
      </w:r>
    </w:p>
    <w:p w:rsidR="00052DB5" w:rsidRPr="00C16FC6" w:rsidRDefault="00052DB5" w:rsidP="00D82C9B">
      <w:pPr>
        <w:autoSpaceDE w:val="0"/>
        <w:autoSpaceDN w:val="0"/>
        <w:adjustRightInd w:val="0"/>
        <w:spacing w:before="240" w:after="240" w:line="360" w:lineRule="auto"/>
        <w:jc w:val="both"/>
        <w:rPr>
          <w:rFonts w:eastAsiaTheme="minorHAnsi"/>
          <w:lang w:eastAsia="en-US"/>
        </w:rPr>
      </w:pPr>
      <w:r w:rsidRPr="00C16FC6">
        <w:rPr>
          <w:rFonts w:eastAsiaTheme="minorHAnsi"/>
          <w:lang w:eastAsia="en-US"/>
        </w:rPr>
        <w:t xml:space="preserve">Este estudio de tipo descriptivo, aporta las características </w:t>
      </w:r>
      <w:r w:rsidR="00242841" w:rsidRPr="00C16FC6">
        <w:rPr>
          <w:rFonts w:eastAsiaTheme="minorHAnsi"/>
          <w:lang w:eastAsia="en-US"/>
        </w:rPr>
        <w:t>socio demográfico, clínico</w:t>
      </w:r>
      <w:r w:rsidRPr="00C16FC6">
        <w:rPr>
          <w:rFonts w:eastAsiaTheme="minorHAnsi"/>
          <w:lang w:eastAsia="en-US"/>
        </w:rPr>
        <w:t xml:space="preserve"> y etiológicas de la hematuria en una población limitada, a los ingresados en la sala de clínicas </w:t>
      </w:r>
      <w:r w:rsidR="007E4164" w:rsidRPr="00C16FC6">
        <w:rPr>
          <w:rFonts w:eastAsiaTheme="minorHAnsi"/>
          <w:lang w:eastAsia="en-US"/>
        </w:rPr>
        <w:t xml:space="preserve">pediátricas. </w:t>
      </w:r>
      <w:r w:rsidR="00C003EC" w:rsidRPr="00C16FC6">
        <w:rPr>
          <w:rFonts w:eastAsiaTheme="minorHAnsi"/>
          <w:lang w:eastAsia="en-US"/>
        </w:rPr>
        <w:t xml:space="preserve">Se </w:t>
      </w:r>
      <w:r w:rsidR="00AA4208" w:rsidRPr="00C16FC6">
        <w:rPr>
          <w:rFonts w:eastAsiaTheme="minorHAnsi"/>
          <w:lang w:eastAsia="en-US"/>
        </w:rPr>
        <w:t>determinó</w:t>
      </w:r>
      <w:r w:rsidR="00C003EC" w:rsidRPr="00C16FC6">
        <w:rPr>
          <w:rFonts w:eastAsiaTheme="minorHAnsi"/>
          <w:lang w:eastAsia="en-US"/>
        </w:rPr>
        <w:t xml:space="preserve"> que la hematuria predominó en el grupo etario de 5 a 9 años y el sexo masculino. La disuria fue el síntoma más frecuente así como los niños sin antecedentes patológicos personales, la hipertensión arterial constituyó el antecedente patológico familiar que predominó en la serie y el diagnóstico definitivo al egreso que más se presentó fue la hematuria no glomerular</w:t>
      </w:r>
      <w:r w:rsidR="00C16FC6">
        <w:rPr>
          <w:rFonts w:eastAsiaTheme="minorHAnsi"/>
          <w:lang w:eastAsia="en-US"/>
        </w:rPr>
        <w:t>.</w:t>
      </w:r>
    </w:p>
    <w:p w:rsidR="00987F39" w:rsidRPr="00D82C9B" w:rsidRDefault="00AA4208" w:rsidP="00D82C9B">
      <w:pPr>
        <w:autoSpaceDE w:val="0"/>
        <w:autoSpaceDN w:val="0"/>
        <w:adjustRightInd w:val="0"/>
        <w:spacing w:before="240" w:after="240" w:line="360" w:lineRule="auto"/>
        <w:jc w:val="both"/>
        <w:rPr>
          <w:rFonts w:eastAsiaTheme="minorHAnsi"/>
          <w:b/>
          <w:color w:val="373435"/>
          <w:lang w:val="en-US" w:eastAsia="en-US"/>
        </w:rPr>
      </w:pPr>
      <w:proofErr w:type="spellStart"/>
      <w:r w:rsidRPr="00D82C9B">
        <w:rPr>
          <w:rFonts w:eastAsiaTheme="minorHAnsi"/>
          <w:b/>
          <w:color w:val="373435"/>
          <w:lang w:val="en-US" w:eastAsia="en-US"/>
        </w:rPr>
        <w:t>Bibliografía</w:t>
      </w:r>
      <w:proofErr w:type="spellEnd"/>
    </w:p>
    <w:p w:rsidR="00987F39" w:rsidRDefault="00987F39" w:rsidP="00F71714">
      <w:pPr>
        <w:spacing w:line="360" w:lineRule="auto"/>
        <w:ind w:left="567" w:hanging="567"/>
        <w:jc w:val="both"/>
        <w:rPr>
          <w:rStyle w:val="Hipervnculo"/>
          <w:lang w:val="en-US"/>
        </w:rPr>
      </w:pPr>
      <w:proofErr w:type="spellStart"/>
      <w:r w:rsidRPr="004E49CD">
        <w:rPr>
          <w:rFonts w:eastAsiaTheme="minorHAnsi"/>
          <w:bCs/>
          <w:color w:val="000000"/>
          <w:lang w:val="en-US" w:eastAsia="en-US"/>
        </w:rPr>
        <w:t>Bignall</w:t>
      </w:r>
      <w:proofErr w:type="spellEnd"/>
      <w:r>
        <w:rPr>
          <w:rFonts w:eastAsiaTheme="minorHAnsi"/>
          <w:bCs/>
          <w:color w:val="000000"/>
          <w:lang w:val="en-US" w:eastAsia="en-US"/>
        </w:rPr>
        <w:t>, O.</w:t>
      </w:r>
      <w:r w:rsidRPr="004E49CD">
        <w:rPr>
          <w:rFonts w:eastAsiaTheme="minorHAnsi"/>
          <w:bCs/>
          <w:color w:val="000000"/>
          <w:lang w:val="en-US" w:eastAsia="en-US"/>
        </w:rPr>
        <w:t>, Dixon</w:t>
      </w:r>
      <w:r>
        <w:rPr>
          <w:rFonts w:eastAsiaTheme="minorHAnsi"/>
          <w:bCs/>
          <w:color w:val="000000"/>
          <w:lang w:val="en-US" w:eastAsia="en-US"/>
        </w:rPr>
        <w:t>,</w:t>
      </w:r>
      <w:r w:rsidRPr="004E49CD">
        <w:rPr>
          <w:rFonts w:eastAsiaTheme="minorHAnsi"/>
          <w:bCs/>
          <w:color w:val="000000"/>
          <w:lang w:val="en-US" w:eastAsia="en-US"/>
        </w:rPr>
        <w:t xml:space="preserve"> B</w:t>
      </w:r>
      <w:r>
        <w:rPr>
          <w:rFonts w:eastAsiaTheme="minorHAnsi"/>
          <w:bCs/>
          <w:color w:val="000000"/>
          <w:lang w:val="en-US" w:eastAsia="en-US"/>
        </w:rPr>
        <w:t xml:space="preserve">. </w:t>
      </w:r>
      <w:r w:rsidRPr="004E49CD">
        <w:rPr>
          <w:rFonts w:eastAsiaTheme="minorHAnsi"/>
          <w:bCs/>
          <w:color w:val="000000"/>
          <w:lang w:val="en-US" w:eastAsia="en-US"/>
        </w:rPr>
        <w:t xml:space="preserve">P. </w:t>
      </w:r>
      <w:r>
        <w:rPr>
          <w:rFonts w:eastAsiaTheme="minorHAnsi"/>
          <w:bCs/>
          <w:color w:val="000000"/>
          <w:lang w:val="en-US" w:eastAsia="en-US"/>
        </w:rPr>
        <w:t xml:space="preserve">(2018). </w:t>
      </w:r>
      <w:proofErr w:type="spellStart"/>
      <w:r w:rsidRPr="004E49CD">
        <w:rPr>
          <w:rFonts w:eastAsiaTheme="minorHAnsi"/>
          <w:bCs/>
          <w:color w:val="000000"/>
          <w:lang w:val="en-US" w:eastAsia="en-US"/>
        </w:rPr>
        <w:t>Managementof</w:t>
      </w:r>
      <w:proofErr w:type="spellEnd"/>
      <w:r w:rsidRPr="004E49CD">
        <w:rPr>
          <w:rFonts w:eastAsiaTheme="minorHAnsi"/>
          <w:bCs/>
          <w:color w:val="000000"/>
          <w:lang w:val="en-US" w:eastAsia="en-US"/>
        </w:rPr>
        <w:t xml:space="preserve"> Hematuria in Children</w:t>
      </w:r>
      <w:r w:rsidRPr="004E49CD">
        <w:rPr>
          <w:bCs/>
          <w:lang w:val="en-US"/>
        </w:rPr>
        <w:t xml:space="preserve">. </w:t>
      </w:r>
      <w:proofErr w:type="spellStart"/>
      <w:r w:rsidRPr="004E49CD">
        <w:rPr>
          <w:lang w:val="en-US"/>
        </w:rPr>
        <w:t>Curr</w:t>
      </w:r>
      <w:proofErr w:type="spellEnd"/>
      <w:r w:rsidRPr="004E49CD">
        <w:rPr>
          <w:lang w:val="en-US"/>
        </w:rPr>
        <w:t xml:space="preserve"> Treat Options </w:t>
      </w:r>
      <w:proofErr w:type="spellStart"/>
      <w:r w:rsidRPr="004E49CD">
        <w:rPr>
          <w:lang w:val="en-US"/>
        </w:rPr>
        <w:t>Pediatr</w:t>
      </w:r>
      <w:proofErr w:type="spellEnd"/>
      <w:r w:rsidRPr="004E49CD">
        <w:rPr>
          <w:lang w:val="en-US"/>
        </w:rPr>
        <w:t xml:space="preserve">. </w:t>
      </w:r>
      <w:r w:rsidRPr="00987F39">
        <w:rPr>
          <w:lang w:val="en-US"/>
        </w:rPr>
        <w:t xml:space="preserve">4(3): 333–349. </w:t>
      </w:r>
      <w:r w:rsidRPr="00852106">
        <w:rPr>
          <w:lang w:val="en-US"/>
        </w:rPr>
        <w:t>http://doi:10.1007/s40746-018-0134-z</w:t>
      </w:r>
    </w:p>
    <w:p w:rsidR="00987F39" w:rsidRPr="00B400C0" w:rsidRDefault="00987F39" w:rsidP="00F71714">
      <w:pPr>
        <w:spacing w:line="360" w:lineRule="auto"/>
        <w:ind w:left="567" w:hanging="567"/>
        <w:jc w:val="both"/>
        <w:rPr>
          <w:rFonts w:eastAsia="Calibri"/>
        </w:rPr>
      </w:pPr>
      <w:r w:rsidRPr="001C6189">
        <w:rPr>
          <w:lang w:val="en-US"/>
        </w:rPr>
        <w:t>Brown</w:t>
      </w:r>
      <w:r>
        <w:rPr>
          <w:lang w:val="en-US"/>
        </w:rPr>
        <w:t>,</w:t>
      </w:r>
      <w:r w:rsidRPr="001C6189">
        <w:rPr>
          <w:lang w:val="en-US"/>
        </w:rPr>
        <w:t xml:space="preserve"> </w:t>
      </w:r>
      <w:proofErr w:type="spellStart"/>
      <w:r w:rsidRPr="001C6189">
        <w:rPr>
          <w:lang w:val="en-US"/>
        </w:rPr>
        <w:t>D</w:t>
      </w:r>
      <w:r>
        <w:rPr>
          <w:lang w:val="en-US"/>
        </w:rPr>
        <w:t>.</w:t>
      </w:r>
      <w:r w:rsidRPr="001C6189">
        <w:rPr>
          <w:lang w:val="en-US"/>
        </w:rPr>
        <w:t>D</w:t>
      </w:r>
      <w:proofErr w:type="spellEnd"/>
      <w:r>
        <w:rPr>
          <w:lang w:val="en-US"/>
        </w:rPr>
        <w:t>.</w:t>
      </w:r>
      <w:r w:rsidRPr="001C6189">
        <w:rPr>
          <w:lang w:val="en-US"/>
        </w:rPr>
        <w:t xml:space="preserve">, </w:t>
      </w:r>
      <w:proofErr w:type="spellStart"/>
      <w:r w:rsidRPr="001C6189">
        <w:rPr>
          <w:lang w:val="en-US"/>
        </w:rPr>
        <w:t>Reidy</w:t>
      </w:r>
      <w:proofErr w:type="spellEnd"/>
      <w:r>
        <w:rPr>
          <w:lang w:val="en-US"/>
        </w:rPr>
        <w:t>,</w:t>
      </w:r>
      <w:r w:rsidRPr="001C6189">
        <w:rPr>
          <w:lang w:val="en-US"/>
        </w:rPr>
        <w:t xml:space="preserve"> K</w:t>
      </w:r>
      <w:r>
        <w:rPr>
          <w:lang w:val="en-US"/>
        </w:rPr>
        <w:t xml:space="preserve">. </w:t>
      </w:r>
      <w:r w:rsidRPr="001C6189">
        <w:rPr>
          <w:lang w:val="en-US"/>
        </w:rPr>
        <w:t>J. (2019)</w:t>
      </w:r>
      <w:r>
        <w:rPr>
          <w:lang w:val="en-US"/>
        </w:rPr>
        <w:t>.</w:t>
      </w:r>
      <w:r w:rsidRPr="001C6189">
        <w:rPr>
          <w:lang w:val="en-US"/>
        </w:rPr>
        <w:t xml:space="preserve">Approach to the child with hematuria. </w:t>
      </w:r>
      <w:proofErr w:type="spellStart"/>
      <w:r w:rsidRPr="00B400C0">
        <w:t>Pediatr</w:t>
      </w:r>
      <w:proofErr w:type="spellEnd"/>
      <w:r w:rsidRPr="00B400C0">
        <w:t xml:space="preserve"> </w:t>
      </w:r>
      <w:proofErr w:type="spellStart"/>
      <w:r w:rsidRPr="00B400C0">
        <w:t>Clin</w:t>
      </w:r>
      <w:proofErr w:type="spellEnd"/>
      <w:r w:rsidRPr="00B400C0">
        <w:t xml:space="preserve"> Am 66 15-30. </w:t>
      </w:r>
      <w:r w:rsidRPr="00852106">
        <w:t>http://doi.org/10.1016/j.pcl.2018.08.003</w:t>
      </w:r>
    </w:p>
    <w:p w:rsidR="00987F39" w:rsidRDefault="00987F39" w:rsidP="00F71714">
      <w:pPr>
        <w:spacing w:line="360" w:lineRule="auto"/>
        <w:ind w:left="567" w:hanging="567"/>
        <w:jc w:val="both"/>
      </w:pPr>
      <w:r>
        <w:rPr>
          <w:rFonts w:eastAsia="Calibri"/>
        </w:rPr>
        <w:t>Camacho-</w:t>
      </w:r>
      <w:r w:rsidRPr="001C710B">
        <w:rPr>
          <w:rFonts w:eastAsia="Calibri"/>
        </w:rPr>
        <w:t>Cruz</w:t>
      </w:r>
      <w:r>
        <w:rPr>
          <w:rFonts w:eastAsia="Calibri"/>
        </w:rPr>
        <w:t>, J, Ramírez-</w:t>
      </w:r>
      <w:r w:rsidRPr="001C710B">
        <w:rPr>
          <w:rFonts w:eastAsia="Calibri"/>
        </w:rPr>
        <w:t>Torres</w:t>
      </w:r>
      <w:r>
        <w:rPr>
          <w:rFonts w:eastAsia="Calibri"/>
        </w:rPr>
        <w:t>,</w:t>
      </w:r>
      <w:r w:rsidRPr="001C710B">
        <w:rPr>
          <w:rFonts w:eastAsia="Calibri"/>
        </w:rPr>
        <w:t xml:space="preserve"> M</w:t>
      </w:r>
      <w:r>
        <w:rPr>
          <w:rFonts w:eastAsia="Calibri"/>
        </w:rPr>
        <w:t>.</w:t>
      </w:r>
      <w:r w:rsidRPr="001C710B">
        <w:rPr>
          <w:rFonts w:eastAsia="Calibri"/>
        </w:rPr>
        <w:t>A, Rojas</w:t>
      </w:r>
      <w:r>
        <w:rPr>
          <w:rFonts w:eastAsia="Calibri"/>
        </w:rPr>
        <w:t>-</w:t>
      </w:r>
      <w:r w:rsidRPr="001C710B">
        <w:rPr>
          <w:rFonts w:eastAsia="Calibri"/>
        </w:rPr>
        <w:t xml:space="preserve"> Rojas</w:t>
      </w:r>
      <w:r>
        <w:rPr>
          <w:rFonts w:eastAsia="Calibri"/>
        </w:rPr>
        <w:t>,</w:t>
      </w:r>
      <w:r w:rsidRPr="001C710B">
        <w:rPr>
          <w:rFonts w:eastAsia="Calibri"/>
        </w:rPr>
        <w:t xml:space="preserve"> D</w:t>
      </w:r>
      <w:r>
        <w:rPr>
          <w:rFonts w:eastAsia="Calibri"/>
        </w:rPr>
        <w:t>-P y Blanco-</w:t>
      </w:r>
      <w:r w:rsidRPr="001C710B">
        <w:rPr>
          <w:rFonts w:eastAsia="Calibri"/>
        </w:rPr>
        <w:t>Castro</w:t>
      </w:r>
      <w:r>
        <w:rPr>
          <w:rFonts w:eastAsia="Calibri"/>
        </w:rPr>
        <w:t>,</w:t>
      </w:r>
      <w:r w:rsidRPr="001C710B">
        <w:rPr>
          <w:rFonts w:eastAsia="Calibri"/>
        </w:rPr>
        <w:t xml:space="preserve"> M</w:t>
      </w:r>
      <w:r>
        <w:rPr>
          <w:rFonts w:eastAsia="Calibri"/>
        </w:rPr>
        <w:t xml:space="preserve">. </w:t>
      </w:r>
      <w:r w:rsidRPr="001C710B">
        <w:rPr>
          <w:rFonts w:eastAsia="Calibri"/>
        </w:rPr>
        <w:t>F.</w:t>
      </w:r>
      <w:r w:rsidRPr="001C710B">
        <w:t xml:space="preserve"> </w:t>
      </w:r>
      <w:r>
        <w:t xml:space="preserve">  </w:t>
      </w:r>
    </w:p>
    <w:p w:rsidR="00987F39" w:rsidRDefault="00987F39" w:rsidP="00F71714">
      <w:pPr>
        <w:spacing w:line="360" w:lineRule="auto"/>
        <w:ind w:left="567" w:hanging="567"/>
        <w:jc w:val="both"/>
        <w:rPr>
          <w:rStyle w:val="Hipervnculo"/>
          <w:rFonts w:eastAsia="Calibri"/>
          <w:color w:val="0000FF"/>
        </w:rPr>
      </w:pPr>
      <w:r>
        <w:t xml:space="preserve">            </w:t>
      </w:r>
      <w:r w:rsidRPr="001C710B">
        <w:t>(201</w:t>
      </w:r>
      <w:r>
        <w:t>8</w:t>
      </w:r>
      <w:r w:rsidRPr="001C710B">
        <w:t>).</w:t>
      </w:r>
      <w:r>
        <w:rPr>
          <w:rFonts w:eastAsia="Calibri"/>
        </w:rPr>
        <w:t xml:space="preserve"> </w:t>
      </w:r>
      <w:r w:rsidRPr="001C710B">
        <w:rPr>
          <w:rFonts w:eastAsia="Calibri"/>
        </w:rPr>
        <w:t>Alteraciones urinarias en niños con primera infección urinaria e infección urinaria recurrente. Rev</w:t>
      </w:r>
      <w:r>
        <w:rPr>
          <w:rFonts w:eastAsia="Calibri"/>
        </w:rPr>
        <w:t>.</w:t>
      </w:r>
      <w:r w:rsidRPr="001C710B">
        <w:rPr>
          <w:rFonts w:eastAsia="Calibri"/>
        </w:rPr>
        <w:t xml:space="preserve"> Cubana 90</w:t>
      </w:r>
      <w:proofErr w:type="gramStart"/>
      <w:r>
        <w:rPr>
          <w:rFonts w:eastAsia="Calibri"/>
        </w:rPr>
        <w:t>,</w:t>
      </w:r>
      <w:r w:rsidRPr="001C710B">
        <w:rPr>
          <w:rFonts w:eastAsia="Calibri"/>
        </w:rPr>
        <w:t>(</w:t>
      </w:r>
      <w:proofErr w:type="gramEnd"/>
      <w:r w:rsidRPr="001C710B">
        <w:rPr>
          <w:rFonts w:eastAsia="Calibri"/>
        </w:rPr>
        <w:t xml:space="preserve">2): 252-61. </w:t>
      </w:r>
      <w:r>
        <w:rPr>
          <w:rFonts w:eastAsia="Calibri"/>
        </w:rPr>
        <w:t>Recuperado de</w:t>
      </w:r>
      <w:r w:rsidRPr="001C710B">
        <w:rPr>
          <w:rFonts w:eastAsia="Calibri"/>
        </w:rPr>
        <w:t xml:space="preserve"> </w:t>
      </w:r>
      <w:r w:rsidRPr="00852106">
        <w:rPr>
          <w:rFonts w:eastAsia="Calibri"/>
        </w:rPr>
        <w:t>http://www.scielo.sld.cu/scielo.php?script=sci_arttext&amp;pid=S0034-75312018000200006</w:t>
      </w:r>
    </w:p>
    <w:p w:rsidR="00987F39" w:rsidRPr="00B400C0" w:rsidRDefault="00987F39" w:rsidP="00F71714">
      <w:pPr>
        <w:spacing w:line="360" w:lineRule="auto"/>
        <w:ind w:left="567" w:hanging="567"/>
        <w:rPr>
          <w:rFonts w:eastAsia="Calibri"/>
        </w:rPr>
      </w:pPr>
      <w:r>
        <w:rPr>
          <w:rFonts w:eastAsiaTheme="minorHAnsi"/>
          <w:lang w:eastAsia="en-US"/>
        </w:rPr>
        <w:t>Campo-Sánchez L, Durán-</w:t>
      </w:r>
      <w:r w:rsidRPr="001C6189">
        <w:rPr>
          <w:rFonts w:eastAsiaTheme="minorHAnsi"/>
          <w:lang w:eastAsia="en-US"/>
        </w:rPr>
        <w:t>Álvarez</w:t>
      </w:r>
      <w:r>
        <w:rPr>
          <w:rFonts w:eastAsiaTheme="minorHAnsi"/>
          <w:lang w:eastAsia="en-US"/>
        </w:rPr>
        <w:t>,</w:t>
      </w:r>
      <w:r w:rsidRPr="001C6189">
        <w:rPr>
          <w:rFonts w:eastAsiaTheme="minorHAnsi"/>
          <w:lang w:eastAsia="en-US"/>
        </w:rPr>
        <w:t xml:space="preserve"> </w:t>
      </w:r>
      <w:r>
        <w:rPr>
          <w:rFonts w:eastAsiaTheme="minorHAnsi"/>
          <w:lang w:eastAsia="en-US"/>
        </w:rPr>
        <w:t>S., Hernández-Hernández J. S, Sosa-</w:t>
      </w:r>
      <w:r w:rsidRPr="001C6189">
        <w:rPr>
          <w:rFonts w:eastAsiaTheme="minorHAnsi"/>
          <w:lang w:eastAsia="en-US"/>
        </w:rPr>
        <w:t xml:space="preserve">Palacio O. </w:t>
      </w:r>
      <w:r w:rsidRPr="001C6189">
        <w:rPr>
          <w:rFonts w:eastAsiaTheme="minorHAnsi"/>
          <w:bCs/>
          <w:color w:val="000000"/>
          <w:lang w:eastAsia="en-US"/>
        </w:rPr>
        <w:t>(201</w:t>
      </w:r>
      <w:r>
        <w:rPr>
          <w:rFonts w:eastAsiaTheme="minorHAnsi"/>
          <w:bCs/>
          <w:color w:val="000000"/>
          <w:lang w:eastAsia="en-US"/>
        </w:rPr>
        <w:t>9</w:t>
      </w:r>
      <w:r w:rsidRPr="001C6189">
        <w:rPr>
          <w:rFonts w:eastAsiaTheme="minorHAnsi"/>
          <w:bCs/>
          <w:color w:val="000000"/>
          <w:lang w:eastAsia="en-US"/>
        </w:rPr>
        <w:t xml:space="preserve">). </w:t>
      </w:r>
      <w:proofErr w:type="spellStart"/>
      <w:r w:rsidRPr="001C6189">
        <w:rPr>
          <w:rFonts w:eastAsiaTheme="minorHAnsi"/>
          <w:lang w:eastAsia="en-US"/>
        </w:rPr>
        <w:t>Etiplogía</w:t>
      </w:r>
      <w:proofErr w:type="spellEnd"/>
      <w:r w:rsidRPr="001C6189">
        <w:rPr>
          <w:rFonts w:eastAsiaTheme="minorHAnsi"/>
          <w:lang w:eastAsia="en-US"/>
        </w:rPr>
        <w:t xml:space="preserve"> de la hematuria </w:t>
      </w:r>
      <w:proofErr w:type="spellStart"/>
      <w:r w:rsidRPr="001C6189">
        <w:rPr>
          <w:rFonts w:eastAsiaTheme="minorHAnsi"/>
          <w:lang w:eastAsia="en-US"/>
        </w:rPr>
        <w:t>monosintomática</w:t>
      </w:r>
      <w:proofErr w:type="spellEnd"/>
      <w:r w:rsidRPr="001C6189">
        <w:rPr>
          <w:rFonts w:eastAsiaTheme="minorHAnsi"/>
          <w:lang w:eastAsia="en-US"/>
        </w:rPr>
        <w:t xml:space="preserve"> en pediatría.</w:t>
      </w:r>
      <w:r w:rsidRPr="00D40080">
        <w:t xml:space="preserve"> Rev</w:t>
      </w:r>
      <w:r>
        <w:t>.</w:t>
      </w:r>
      <w:r w:rsidRPr="00D40080">
        <w:t xml:space="preserve"> Cubana </w:t>
      </w:r>
      <w:proofErr w:type="spellStart"/>
      <w:proofErr w:type="gramStart"/>
      <w:r>
        <w:t>Pediatr</w:t>
      </w:r>
      <w:proofErr w:type="spellEnd"/>
      <w:r>
        <w:t> ,</w:t>
      </w:r>
      <w:proofErr w:type="gramEnd"/>
      <w:r>
        <w:t xml:space="preserve"> 91(2</w:t>
      </w:r>
      <w:r w:rsidRPr="00D40080">
        <w:t>): 252-261.</w:t>
      </w:r>
      <w:r w:rsidRPr="001C6189">
        <w:rPr>
          <w:rFonts w:eastAsiaTheme="minorHAnsi"/>
          <w:lang w:eastAsia="en-US"/>
        </w:rPr>
        <w:t xml:space="preserve">  </w:t>
      </w:r>
      <w:r w:rsidRPr="00B400C0">
        <w:rPr>
          <w:rFonts w:eastAsiaTheme="minorHAnsi"/>
          <w:lang w:eastAsia="en-US"/>
        </w:rPr>
        <w:t xml:space="preserve">Recuperado de </w:t>
      </w:r>
      <w:r w:rsidRPr="00852106">
        <w:rPr>
          <w:rFonts w:eastAsiaTheme="minorHAnsi"/>
          <w:lang w:eastAsia="en-US"/>
        </w:rPr>
        <w:t>http://creativecommons.org/licences/by.nc/4.0/deed.es</w:t>
      </w:r>
    </w:p>
    <w:p w:rsidR="00987F39" w:rsidRDefault="00987F39" w:rsidP="00F71714">
      <w:pPr>
        <w:pStyle w:val="NormalWeb"/>
        <w:spacing w:before="0" w:beforeAutospacing="0" w:after="0" w:afterAutospacing="0" w:line="360" w:lineRule="auto"/>
        <w:ind w:left="567" w:hanging="567"/>
        <w:jc w:val="both"/>
        <w:rPr>
          <w:rStyle w:val="Hipervnculo"/>
          <w:rFonts w:eastAsia="Calibri"/>
        </w:rPr>
      </w:pPr>
      <w:r>
        <w:rPr>
          <w:rFonts w:eastAsia="Calibri"/>
        </w:rPr>
        <w:t>Chacón-</w:t>
      </w:r>
      <w:r w:rsidRPr="00AA4208">
        <w:rPr>
          <w:rFonts w:eastAsia="Calibri"/>
        </w:rPr>
        <w:t>Hernández</w:t>
      </w:r>
      <w:r>
        <w:rPr>
          <w:rFonts w:eastAsia="Calibri"/>
        </w:rPr>
        <w:t>,</w:t>
      </w:r>
      <w:r w:rsidRPr="00AA4208">
        <w:rPr>
          <w:rFonts w:eastAsia="Calibri"/>
        </w:rPr>
        <w:t xml:space="preserve">  G</w:t>
      </w:r>
      <w:r>
        <w:rPr>
          <w:rFonts w:eastAsia="Calibri"/>
        </w:rPr>
        <w:t>., y Delgado-</w:t>
      </w:r>
      <w:r w:rsidRPr="00AA4208">
        <w:rPr>
          <w:rFonts w:eastAsia="Calibri"/>
        </w:rPr>
        <w:t xml:space="preserve">Arguedas J. Hematuria. </w:t>
      </w:r>
      <w:r>
        <w:t xml:space="preserve">(2015). </w:t>
      </w:r>
      <w:proofErr w:type="spellStart"/>
      <w:r w:rsidRPr="00AA4208">
        <w:rPr>
          <w:rFonts w:eastAsia="Calibri"/>
        </w:rPr>
        <w:t>Rev</w:t>
      </w:r>
      <w:proofErr w:type="spellEnd"/>
      <w:r>
        <w:rPr>
          <w:rFonts w:eastAsia="Calibri"/>
        </w:rPr>
        <w:t>,</w:t>
      </w:r>
      <w:r w:rsidRPr="00AA4208">
        <w:rPr>
          <w:rFonts w:eastAsia="Calibri"/>
        </w:rPr>
        <w:t xml:space="preserve"> </w:t>
      </w:r>
      <w:r>
        <w:rPr>
          <w:rFonts w:eastAsia="Calibri"/>
        </w:rPr>
        <w:t>M</w:t>
      </w:r>
      <w:r w:rsidRPr="00AA4208">
        <w:rPr>
          <w:rFonts w:eastAsia="Calibri"/>
        </w:rPr>
        <w:t xml:space="preserve">edica  Costa Rica </w:t>
      </w:r>
      <w:r>
        <w:rPr>
          <w:rFonts w:eastAsia="Calibri"/>
        </w:rPr>
        <w:t>y</w:t>
      </w:r>
      <w:r w:rsidRPr="00AA4208">
        <w:rPr>
          <w:rFonts w:eastAsia="Calibri"/>
        </w:rPr>
        <w:t xml:space="preserve"> Centroamérica</w:t>
      </w:r>
      <w:r>
        <w:rPr>
          <w:rFonts w:eastAsia="Calibri"/>
        </w:rPr>
        <w:t>,</w:t>
      </w:r>
      <w:r w:rsidRPr="00AA4208">
        <w:rPr>
          <w:rFonts w:eastAsia="Calibri"/>
        </w:rPr>
        <w:t xml:space="preserve">  (614) 77-81. </w:t>
      </w:r>
      <w:r>
        <w:rPr>
          <w:rFonts w:eastAsia="Calibri"/>
        </w:rPr>
        <w:t>Recuperado de</w:t>
      </w:r>
      <w:r w:rsidR="0089471B">
        <w:rPr>
          <w:rFonts w:eastAsia="Calibri"/>
        </w:rPr>
        <w:t>:</w:t>
      </w:r>
      <w:r w:rsidRPr="00AA4208">
        <w:rPr>
          <w:rFonts w:eastAsia="Calibri"/>
        </w:rPr>
        <w:t xml:space="preserve"> </w:t>
      </w:r>
      <w:r w:rsidRPr="00852106">
        <w:rPr>
          <w:rFonts w:eastAsia="Calibri"/>
        </w:rPr>
        <w:t>http://www.medigraphic.com/pdfs/revmedcoscen/rmc-2015/rmc151o.pdf</w:t>
      </w:r>
    </w:p>
    <w:p w:rsidR="00987F39" w:rsidRDefault="00987F39" w:rsidP="00F71714">
      <w:pPr>
        <w:spacing w:line="360" w:lineRule="auto"/>
        <w:ind w:left="567" w:hanging="567"/>
        <w:jc w:val="both"/>
        <w:rPr>
          <w:rFonts w:eastAsiaTheme="minorHAnsi"/>
          <w:lang w:val="en-US" w:eastAsia="en-US"/>
        </w:rPr>
      </w:pPr>
      <w:r w:rsidRPr="004E49CD">
        <w:rPr>
          <w:rFonts w:eastAsiaTheme="minorHAnsi"/>
          <w:lang w:val="en-US" w:eastAsia="en-US"/>
        </w:rPr>
        <w:t>Cho</w:t>
      </w:r>
      <w:r>
        <w:rPr>
          <w:rFonts w:eastAsiaTheme="minorHAnsi"/>
          <w:lang w:val="en-US" w:eastAsia="en-US"/>
        </w:rPr>
        <w:t>,</w:t>
      </w:r>
      <w:r w:rsidRPr="004E49CD">
        <w:rPr>
          <w:rFonts w:eastAsiaTheme="minorHAnsi"/>
          <w:lang w:val="en-US" w:eastAsia="en-US"/>
        </w:rPr>
        <w:t xml:space="preserve"> B</w:t>
      </w:r>
      <w:r>
        <w:rPr>
          <w:rFonts w:eastAsiaTheme="minorHAnsi"/>
          <w:lang w:val="en-US" w:eastAsia="en-US"/>
        </w:rPr>
        <w:t>.</w:t>
      </w:r>
      <w:r w:rsidRPr="004E49CD">
        <w:rPr>
          <w:rFonts w:eastAsiaTheme="minorHAnsi"/>
          <w:lang w:val="en-US" w:eastAsia="en-US"/>
        </w:rPr>
        <w:t>S</w:t>
      </w:r>
      <w:r>
        <w:rPr>
          <w:rFonts w:eastAsiaTheme="minorHAnsi"/>
          <w:lang w:val="en-US" w:eastAsia="en-US"/>
        </w:rPr>
        <w:t>.</w:t>
      </w:r>
      <w:r w:rsidRPr="004E49CD">
        <w:rPr>
          <w:rFonts w:eastAsiaTheme="minorHAnsi"/>
          <w:lang w:val="en-US" w:eastAsia="en-US"/>
        </w:rPr>
        <w:t>, Kim</w:t>
      </w:r>
      <w:r>
        <w:rPr>
          <w:rFonts w:eastAsiaTheme="minorHAnsi"/>
          <w:lang w:val="en-US" w:eastAsia="en-US"/>
        </w:rPr>
        <w:t>,</w:t>
      </w:r>
      <w:r w:rsidRPr="004E49CD">
        <w:rPr>
          <w:rFonts w:eastAsiaTheme="minorHAnsi"/>
          <w:lang w:val="en-US" w:eastAsia="en-US"/>
        </w:rPr>
        <w:t xml:space="preserve"> S</w:t>
      </w:r>
      <w:r>
        <w:rPr>
          <w:rFonts w:eastAsiaTheme="minorHAnsi"/>
          <w:lang w:val="en-US" w:eastAsia="en-US"/>
        </w:rPr>
        <w:t xml:space="preserve">. </w:t>
      </w:r>
      <w:r w:rsidRPr="004E49CD">
        <w:rPr>
          <w:rFonts w:eastAsiaTheme="minorHAnsi"/>
          <w:lang w:val="en-US" w:eastAsia="en-US"/>
        </w:rPr>
        <w:t xml:space="preserve">D. </w:t>
      </w:r>
      <w:r>
        <w:rPr>
          <w:rFonts w:eastAsiaTheme="minorHAnsi"/>
          <w:lang w:val="en-US" w:eastAsia="en-US"/>
        </w:rPr>
        <w:t>(2007).</w:t>
      </w:r>
      <w:r w:rsidRPr="004E49CD">
        <w:rPr>
          <w:rFonts w:eastAsiaTheme="minorHAnsi"/>
          <w:lang w:val="en-US" w:eastAsia="en-US"/>
        </w:rPr>
        <w:t xml:space="preserve">School urinalysis screening in Korea. </w:t>
      </w:r>
      <w:r w:rsidRPr="004E49CD">
        <w:rPr>
          <w:rFonts w:eastAsiaTheme="minorHAnsi"/>
          <w:iCs/>
          <w:lang w:val="en-US" w:eastAsia="en-US"/>
        </w:rPr>
        <w:t>Nephrology</w:t>
      </w:r>
      <w:r>
        <w:rPr>
          <w:rFonts w:eastAsiaTheme="minorHAnsi"/>
          <w:iCs/>
          <w:lang w:val="en-US" w:eastAsia="en-US"/>
        </w:rPr>
        <w:t xml:space="preserve"> </w:t>
      </w:r>
      <w:r w:rsidRPr="004E49CD">
        <w:rPr>
          <w:rFonts w:eastAsiaTheme="minorHAnsi"/>
          <w:iCs/>
          <w:lang w:val="en-US" w:eastAsia="en-US"/>
        </w:rPr>
        <w:t>(Carlton)</w:t>
      </w:r>
      <w:r w:rsidRPr="004E49CD">
        <w:rPr>
          <w:rFonts w:eastAsiaTheme="minorHAnsi"/>
          <w:lang w:val="en-US" w:eastAsia="en-US"/>
        </w:rPr>
        <w:t xml:space="preserve">; 12 </w:t>
      </w:r>
      <w:proofErr w:type="spellStart"/>
      <w:r w:rsidRPr="004E49CD">
        <w:rPr>
          <w:rFonts w:eastAsiaTheme="minorHAnsi"/>
          <w:lang w:val="en-US" w:eastAsia="en-US"/>
        </w:rPr>
        <w:t>Suppl</w:t>
      </w:r>
      <w:proofErr w:type="spellEnd"/>
      <w:r w:rsidRPr="004E49CD">
        <w:rPr>
          <w:rFonts w:eastAsiaTheme="minorHAnsi"/>
          <w:lang w:val="en-US" w:eastAsia="en-US"/>
        </w:rPr>
        <w:t xml:space="preserve"> 3: S3-S7.</w:t>
      </w:r>
    </w:p>
    <w:p w:rsidR="00987F39" w:rsidRPr="00B400C0" w:rsidRDefault="00987F39" w:rsidP="00F71714">
      <w:pPr>
        <w:spacing w:line="360" w:lineRule="auto"/>
        <w:ind w:left="567" w:hanging="567"/>
        <w:jc w:val="both"/>
        <w:rPr>
          <w:rFonts w:eastAsia="Calibri"/>
        </w:rPr>
      </w:pPr>
      <w:r w:rsidRPr="004E49CD">
        <w:rPr>
          <w:rFonts w:eastAsiaTheme="minorHAnsi"/>
          <w:iCs/>
          <w:lang w:val="en-US" w:eastAsia="en-US"/>
        </w:rPr>
        <w:t>Dang</w:t>
      </w:r>
      <w:r>
        <w:rPr>
          <w:rFonts w:eastAsiaTheme="minorHAnsi"/>
          <w:iCs/>
          <w:lang w:val="en-US" w:eastAsia="en-US"/>
        </w:rPr>
        <w:t>,</w:t>
      </w:r>
      <w:r w:rsidRPr="004E49CD">
        <w:rPr>
          <w:rFonts w:eastAsiaTheme="minorHAnsi"/>
          <w:iCs/>
          <w:lang w:val="en-US" w:eastAsia="en-US"/>
        </w:rPr>
        <w:t xml:space="preserve"> L</w:t>
      </w:r>
      <w:r>
        <w:rPr>
          <w:rFonts w:eastAsiaTheme="minorHAnsi"/>
          <w:iCs/>
          <w:lang w:val="en-US" w:eastAsia="en-US"/>
        </w:rPr>
        <w:t>.</w:t>
      </w:r>
      <w:r w:rsidRPr="004E49CD">
        <w:rPr>
          <w:rFonts w:eastAsiaTheme="minorHAnsi"/>
          <w:iCs/>
          <w:lang w:val="en-US" w:eastAsia="en-US"/>
        </w:rPr>
        <w:t>N</w:t>
      </w:r>
      <w:r>
        <w:rPr>
          <w:rFonts w:eastAsiaTheme="minorHAnsi"/>
          <w:iCs/>
          <w:lang w:val="en-US" w:eastAsia="en-US"/>
        </w:rPr>
        <w:t>.</w:t>
      </w:r>
      <w:r w:rsidRPr="004E49CD">
        <w:rPr>
          <w:rFonts w:eastAsiaTheme="minorHAnsi"/>
          <w:iCs/>
          <w:lang w:val="en-US" w:eastAsia="en-US"/>
        </w:rPr>
        <w:t>, Doan</w:t>
      </w:r>
      <w:r>
        <w:rPr>
          <w:rFonts w:eastAsiaTheme="minorHAnsi"/>
          <w:iCs/>
          <w:lang w:val="en-US" w:eastAsia="en-US"/>
        </w:rPr>
        <w:t>,</w:t>
      </w:r>
      <w:r w:rsidRPr="004E49CD">
        <w:rPr>
          <w:rFonts w:eastAsiaTheme="minorHAnsi"/>
          <w:iCs/>
          <w:lang w:val="en-US" w:eastAsia="en-US"/>
        </w:rPr>
        <w:t xml:space="preserve"> T</w:t>
      </w:r>
      <w:r>
        <w:rPr>
          <w:rFonts w:eastAsiaTheme="minorHAnsi"/>
          <w:iCs/>
          <w:lang w:val="en-US" w:eastAsia="en-US"/>
        </w:rPr>
        <w:t>.</w:t>
      </w:r>
      <w:r w:rsidRPr="004E49CD">
        <w:rPr>
          <w:rFonts w:eastAsiaTheme="minorHAnsi"/>
          <w:iCs/>
          <w:lang w:val="en-US" w:eastAsia="en-US"/>
        </w:rPr>
        <w:t>L</w:t>
      </w:r>
      <w:r>
        <w:rPr>
          <w:rFonts w:eastAsiaTheme="minorHAnsi"/>
          <w:iCs/>
          <w:lang w:val="en-US" w:eastAsia="en-US"/>
        </w:rPr>
        <w:t>.</w:t>
      </w:r>
      <w:r w:rsidRPr="004E49CD">
        <w:rPr>
          <w:rFonts w:eastAsiaTheme="minorHAnsi"/>
          <w:iCs/>
          <w:lang w:val="en-US" w:eastAsia="en-US"/>
        </w:rPr>
        <w:t>, Doan</w:t>
      </w:r>
      <w:r>
        <w:rPr>
          <w:rFonts w:eastAsiaTheme="minorHAnsi"/>
          <w:iCs/>
          <w:lang w:val="en-US" w:eastAsia="en-US"/>
        </w:rPr>
        <w:t>,</w:t>
      </w:r>
      <w:r w:rsidRPr="004E49CD">
        <w:rPr>
          <w:rFonts w:eastAsiaTheme="minorHAnsi"/>
          <w:iCs/>
          <w:lang w:val="en-US" w:eastAsia="en-US"/>
        </w:rPr>
        <w:t xml:space="preserve"> </w:t>
      </w:r>
      <w:proofErr w:type="spellStart"/>
      <w:r w:rsidRPr="004E49CD">
        <w:rPr>
          <w:rFonts w:eastAsiaTheme="minorHAnsi"/>
          <w:iCs/>
          <w:lang w:val="en-US" w:eastAsia="en-US"/>
        </w:rPr>
        <w:t>N</w:t>
      </w:r>
      <w:r>
        <w:rPr>
          <w:rFonts w:eastAsiaTheme="minorHAnsi"/>
          <w:iCs/>
          <w:lang w:val="en-US" w:eastAsia="en-US"/>
        </w:rPr>
        <w:t>.</w:t>
      </w:r>
      <w:r w:rsidRPr="004E49CD">
        <w:rPr>
          <w:rFonts w:eastAsiaTheme="minorHAnsi"/>
          <w:iCs/>
          <w:lang w:val="en-US" w:eastAsia="en-US"/>
        </w:rPr>
        <w:t>H</w:t>
      </w:r>
      <w:proofErr w:type="spellEnd"/>
      <w:r>
        <w:rPr>
          <w:rFonts w:eastAsiaTheme="minorHAnsi"/>
          <w:iCs/>
          <w:lang w:val="en-US" w:eastAsia="en-US"/>
        </w:rPr>
        <w:t>.</w:t>
      </w:r>
      <w:r w:rsidRPr="004E49CD">
        <w:rPr>
          <w:rFonts w:eastAsiaTheme="minorHAnsi"/>
          <w:iCs/>
          <w:lang w:val="en-US" w:eastAsia="en-US"/>
        </w:rPr>
        <w:t xml:space="preserve">, </w:t>
      </w:r>
      <w:proofErr w:type="spellStart"/>
      <w:r w:rsidRPr="004E49CD">
        <w:rPr>
          <w:rFonts w:eastAsiaTheme="minorHAnsi"/>
          <w:iCs/>
          <w:lang w:val="en-US" w:eastAsia="en-US"/>
        </w:rPr>
        <w:t>Phan</w:t>
      </w:r>
      <w:proofErr w:type="spellEnd"/>
      <w:r w:rsidRPr="004E49CD">
        <w:rPr>
          <w:rFonts w:eastAsiaTheme="minorHAnsi"/>
          <w:iCs/>
          <w:lang w:val="en-US" w:eastAsia="en-US"/>
        </w:rPr>
        <w:t xml:space="preserve"> TK, </w:t>
      </w:r>
      <w:proofErr w:type="spellStart"/>
      <w:r w:rsidRPr="004E49CD">
        <w:rPr>
          <w:rFonts w:eastAsiaTheme="minorHAnsi"/>
          <w:iCs/>
          <w:lang w:val="en-US" w:eastAsia="en-US"/>
        </w:rPr>
        <w:t>SmetsF</w:t>
      </w:r>
      <w:proofErr w:type="spellEnd"/>
      <w:r w:rsidRPr="004E49CD">
        <w:rPr>
          <w:rFonts w:eastAsiaTheme="minorHAnsi"/>
          <w:iCs/>
          <w:lang w:val="en-US" w:eastAsia="en-US"/>
        </w:rPr>
        <w:t xml:space="preserve">, </w:t>
      </w:r>
      <w:proofErr w:type="spellStart"/>
      <w:r w:rsidRPr="004E49CD">
        <w:rPr>
          <w:rFonts w:eastAsiaTheme="minorHAnsi"/>
          <w:iCs/>
          <w:lang w:val="en-US" w:eastAsia="en-US"/>
        </w:rPr>
        <w:t>TranThiMH</w:t>
      </w:r>
      <w:proofErr w:type="spellEnd"/>
      <w:r w:rsidRPr="004E49CD">
        <w:rPr>
          <w:rFonts w:eastAsiaTheme="minorHAnsi"/>
          <w:iCs/>
          <w:lang w:val="en-US" w:eastAsia="en-US"/>
        </w:rPr>
        <w:t xml:space="preserve">, et al. Epidemiological </w:t>
      </w:r>
      <w:proofErr w:type="spellStart"/>
      <w:r w:rsidRPr="004E49CD">
        <w:rPr>
          <w:rFonts w:eastAsiaTheme="minorHAnsi"/>
          <w:iCs/>
          <w:lang w:val="en-US" w:eastAsia="en-US"/>
        </w:rPr>
        <w:t>urinalusis</w:t>
      </w:r>
      <w:proofErr w:type="spellEnd"/>
      <w:r w:rsidRPr="004E49CD">
        <w:rPr>
          <w:rFonts w:eastAsiaTheme="minorHAnsi"/>
          <w:iCs/>
          <w:lang w:val="en-US" w:eastAsia="en-US"/>
        </w:rPr>
        <w:t xml:space="preserve"> of children Kindergartens of Can </w:t>
      </w:r>
      <w:proofErr w:type="spellStart"/>
      <w:r w:rsidRPr="004E49CD">
        <w:rPr>
          <w:rFonts w:eastAsiaTheme="minorHAnsi"/>
          <w:iCs/>
          <w:lang w:val="en-US" w:eastAsia="en-US"/>
        </w:rPr>
        <w:t>zzzhio</w:t>
      </w:r>
      <w:proofErr w:type="spellEnd"/>
      <w:r w:rsidRPr="004E49CD">
        <w:rPr>
          <w:rFonts w:eastAsiaTheme="minorHAnsi"/>
          <w:iCs/>
          <w:lang w:val="en-US" w:eastAsia="en-US"/>
        </w:rPr>
        <w:t xml:space="preserve">, Ho Chi Ming City. </w:t>
      </w:r>
      <w:r w:rsidRPr="00852106">
        <w:rPr>
          <w:rFonts w:eastAsiaTheme="minorHAnsi"/>
          <w:iCs/>
          <w:lang w:val="en-US" w:eastAsia="en-US"/>
        </w:rPr>
        <w:t xml:space="preserve">BMC </w:t>
      </w:r>
      <w:proofErr w:type="spellStart"/>
      <w:r w:rsidRPr="00852106">
        <w:rPr>
          <w:rFonts w:eastAsiaTheme="minorHAnsi"/>
          <w:iCs/>
          <w:lang w:val="en-US" w:eastAsia="en-US"/>
        </w:rPr>
        <w:t>Pediatr</w:t>
      </w:r>
      <w:proofErr w:type="spellEnd"/>
      <w:r w:rsidRPr="00852106">
        <w:rPr>
          <w:rFonts w:eastAsiaTheme="minorHAnsi"/>
          <w:iCs/>
          <w:lang w:val="en-US" w:eastAsia="en-US"/>
        </w:rPr>
        <w:t>. 2013</w:t>
      </w:r>
      <w:proofErr w:type="gramStart"/>
      <w:r w:rsidRPr="00852106">
        <w:rPr>
          <w:rFonts w:eastAsiaTheme="minorHAnsi"/>
          <w:iCs/>
          <w:lang w:val="en-US" w:eastAsia="en-US"/>
        </w:rPr>
        <w:t>;13:183</w:t>
      </w:r>
      <w:proofErr w:type="gramEnd"/>
      <w:r w:rsidRPr="00852106">
        <w:rPr>
          <w:rFonts w:eastAsiaTheme="minorHAnsi"/>
          <w:iCs/>
          <w:lang w:val="en-US" w:eastAsia="en-US"/>
        </w:rPr>
        <w:t xml:space="preserve">. </w:t>
      </w:r>
      <w:r w:rsidR="0089471B">
        <w:rPr>
          <w:rFonts w:eastAsiaTheme="minorHAnsi"/>
          <w:iCs/>
          <w:lang w:eastAsia="en-US"/>
        </w:rPr>
        <w:t xml:space="preserve">Recuperado de: </w:t>
      </w:r>
      <w:r w:rsidRPr="00852106">
        <w:rPr>
          <w:rFonts w:eastAsiaTheme="minorHAnsi"/>
          <w:iCs/>
          <w:lang w:eastAsia="en-US"/>
        </w:rPr>
        <w:t>http://doi:10.1186/1471-2431-13-183</w:t>
      </w:r>
    </w:p>
    <w:p w:rsidR="00987F39" w:rsidRDefault="00987F39" w:rsidP="00F71714">
      <w:pPr>
        <w:pStyle w:val="NormalWeb"/>
        <w:spacing w:before="0" w:beforeAutospacing="0" w:after="0" w:afterAutospacing="0" w:line="360" w:lineRule="auto"/>
        <w:ind w:left="567" w:hanging="567"/>
        <w:jc w:val="both"/>
        <w:rPr>
          <w:rStyle w:val="Hipervnculo"/>
          <w:rFonts w:eastAsia="Calibri"/>
        </w:rPr>
      </w:pPr>
      <w:r>
        <w:rPr>
          <w:rFonts w:eastAsia="Calibri"/>
        </w:rPr>
        <w:t>D</w:t>
      </w:r>
      <w:r w:rsidRPr="006D6352">
        <w:rPr>
          <w:rFonts w:eastAsia="Calibri"/>
        </w:rPr>
        <w:t xml:space="preserve">e la Rosa Brito W, Guzmán M y Rodríguez C. </w:t>
      </w:r>
      <w:r>
        <w:t xml:space="preserve">(2018). </w:t>
      </w:r>
      <w:r w:rsidRPr="006D6352">
        <w:rPr>
          <w:rFonts w:eastAsia="Calibri"/>
        </w:rPr>
        <w:t xml:space="preserve">Frecuencia y manejo de hematuria y proteinuria en pacientes atendidos en la emergencia de pediatría del hospital materno infantil </w:t>
      </w:r>
      <w:r>
        <w:rPr>
          <w:rFonts w:eastAsia="Calibri"/>
        </w:rPr>
        <w:lastRenderedPageBreak/>
        <w:t>S</w:t>
      </w:r>
      <w:r w:rsidRPr="006D6352">
        <w:rPr>
          <w:rFonts w:eastAsia="Calibri"/>
        </w:rPr>
        <w:t xml:space="preserve">an Lorenzo de los </w:t>
      </w:r>
      <w:r>
        <w:rPr>
          <w:rFonts w:eastAsia="Calibri"/>
        </w:rPr>
        <w:t>M</w:t>
      </w:r>
      <w:r w:rsidRPr="006D6352">
        <w:rPr>
          <w:rFonts w:eastAsia="Calibri"/>
        </w:rPr>
        <w:t xml:space="preserve">ina, </w:t>
      </w:r>
      <w:r>
        <w:rPr>
          <w:rFonts w:eastAsia="Calibri"/>
        </w:rPr>
        <w:t>R</w:t>
      </w:r>
      <w:r w:rsidRPr="006D6352">
        <w:rPr>
          <w:rFonts w:eastAsia="Calibri"/>
        </w:rPr>
        <w:t xml:space="preserve">epública </w:t>
      </w:r>
      <w:r>
        <w:rPr>
          <w:rFonts w:eastAsia="Calibri"/>
        </w:rPr>
        <w:t>D</w:t>
      </w:r>
      <w:r w:rsidRPr="006D6352">
        <w:rPr>
          <w:rFonts w:eastAsia="Calibri"/>
        </w:rPr>
        <w:t>ominicana, abril de 2016.</w:t>
      </w:r>
      <w:r>
        <w:rPr>
          <w:rFonts w:eastAsia="Calibri"/>
        </w:rPr>
        <w:t xml:space="preserve"> Ciencia y Salud, </w:t>
      </w:r>
      <w:r w:rsidRPr="006D6352">
        <w:rPr>
          <w:rFonts w:eastAsia="Calibri"/>
        </w:rPr>
        <w:t xml:space="preserve">(1): 57-62.  </w:t>
      </w:r>
      <w:r>
        <w:rPr>
          <w:rFonts w:eastAsia="Calibri"/>
        </w:rPr>
        <w:t>Recuperado de</w:t>
      </w:r>
      <w:r w:rsidR="0089471B">
        <w:rPr>
          <w:rFonts w:eastAsia="Calibri"/>
        </w:rPr>
        <w:t>:</w:t>
      </w:r>
      <w:r>
        <w:t xml:space="preserve"> </w:t>
      </w:r>
      <w:r w:rsidRPr="00852106">
        <w:rPr>
          <w:rFonts w:eastAsia="Calibri"/>
        </w:rPr>
        <w:t>https://www.revistas.intec.edu.do/index.php/cisa/article/view/1144/1268</w:t>
      </w:r>
    </w:p>
    <w:p w:rsidR="00987F39" w:rsidRDefault="00987F39" w:rsidP="00F71714">
      <w:pPr>
        <w:spacing w:line="360" w:lineRule="auto"/>
        <w:ind w:left="567" w:hanging="567"/>
        <w:jc w:val="both"/>
        <w:rPr>
          <w:rStyle w:val="Hipervnculo"/>
          <w:rFonts w:eastAsia="Calibri"/>
        </w:rPr>
      </w:pPr>
      <w:r>
        <w:rPr>
          <w:rFonts w:eastAsia="Calibri"/>
        </w:rPr>
        <w:t>Delgado-</w:t>
      </w:r>
      <w:r w:rsidRPr="001A6EF6">
        <w:rPr>
          <w:rFonts w:eastAsia="Calibri"/>
        </w:rPr>
        <w:t>Pérez</w:t>
      </w:r>
      <w:r>
        <w:rPr>
          <w:rFonts w:eastAsia="Calibri"/>
        </w:rPr>
        <w:t>,</w:t>
      </w:r>
      <w:r w:rsidRPr="001A6EF6">
        <w:rPr>
          <w:rFonts w:eastAsia="Calibri"/>
        </w:rPr>
        <w:t xml:space="preserve"> R</w:t>
      </w:r>
      <w:r>
        <w:rPr>
          <w:rFonts w:eastAsia="Calibri"/>
        </w:rPr>
        <w:t xml:space="preserve">. </w:t>
      </w:r>
      <w:r w:rsidRPr="001A6EF6">
        <w:rPr>
          <w:rFonts w:eastAsia="Calibri"/>
        </w:rPr>
        <w:t>E.</w:t>
      </w:r>
      <w:r>
        <w:t xml:space="preserve"> </w:t>
      </w:r>
      <w:r w:rsidRPr="001C710B">
        <w:t>(20</w:t>
      </w:r>
      <w:r>
        <w:t>04</w:t>
      </w:r>
      <w:r w:rsidRPr="001C710B">
        <w:t>).</w:t>
      </w:r>
      <w:r>
        <w:rPr>
          <w:rFonts w:eastAsia="Calibri"/>
        </w:rPr>
        <w:t xml:space="preserve"> </w:t>
      </w:r>
      <w:r w:rsidRPr="001A6EF6">
        <w:rPr>
          <w:rFonts w:eastAsia="Calibri"/>
        </w:rPr>
        <w:t>Hematuria en niños menores de 12 años ingresados al Servicio de Medicina Pediátrica en el Hospital Escuela Oscar Danilo Rosales Arguello, León. Enero, 2002 a Diciembre, 2003 [Tesis].  Nicaragua-León: Universidad Nacional A</w:t>
      </w:r>
      <w:r>
        <w:rPr>
          <w:rFonts w:eastAsia="Calibri"/>
        </w:rPr>
        <w:t>utónoma de Nic</w:t>
      </w:r>
      <w:r w:rsidR="0089471B">
        <w:rPr>
          <w:rFonts w:eastAsia="Calibri"/>
        </w:rPr>
        <w:t xml:space="preserve">aragua UNAN-León. Recuperado de: </w:t>
      </w:r>
      <w:r w:rsidRPr="00852106">
        <w:rPr>
          <w:rFonts w:eastAsia="Calibri"/>
        </w:rPr>
        <w:t>https://www.riul.unanleon.edu.ni:8080/jspui/bitstream/123456789/1904/1/193328.pdf</w:t>
      </w:r>
    </w:p>
    <w:p w:rsidR="00987F39" w:rsidRPr="00987F39" w:rsidRDefault="00987F39" w:rsidP="00F71714">
      <w:pPr>
        <w:spacing w:line="360" w:lineRule="auto"/>
        <w:ind w:left="567" w:hanging="567"/>
        <w:jc w:val="both"/>
        <w:rPr>
          <w:rStyle w:val="Hipervnculo"/>
          <w:rFonts w:eastAsia="Calibri"/>
          <w:color w:val="auto"/>
          <w:u w:val="none"/>
        </w:rPr>
      </w:pPr>
      <w:r w:rsidRPr="00EE71D9">
        <w:rPr>
          <w:lang w:val="en-US"/>
        </w:rPr>
        <w:t>El-</w:t>
      </w:r>
      <w:proofErr w:type="spellStart"/>
      <w:r w:rsidRPr="00EE71D9">
        <w:rPr>
          <w:lang w:val="en-US"/>
        </w:rPr>
        <w:t>Shafie</w:t>
      </w:r>
      <w:proofErr w:type="spellEnd"/>
      <w:r>
        <w:rPr>
          <w:lang w:val="en-US"/>
        </w:rPr>
        <w:t>,</w:t>
      </w:r>
      <w:r w:rsidRPr="00EE71D9">
        <w:rPr>
          <w:lang w:val="en-US"/>
        </w:rPr>
        <w:t xml:space="preserve"> A</w:t>
      </w:r>
      <w:r>
        <w:rPr>
          <w:lang w:val="en-US"/>
        </w:rPr>
        <w:t xml:space="preserve">. </w:t>
      </w:r>
      <w:r w:rsidRPr="00EE71D9">
        <w:rPr>
          <w:lang w:val="en-US"/>
        </w:rPr>
        <w:t>M</w:t>
      </w:r>
      <w:r>
        <w:rPr>
          <w:lang w:val="en-US"/>
        </w:rPr>
        <w:t>.</w:t>
      </w:r>
      <w:r w:rsidRPr="00EE71D9">
        <w:rPr>
          <w:lang w:val="en-US"/>
        </w:rPr>
        <w:t>, El-</w:t>
      </w:r>
      <w:proofErr w:type="spellStart"/>
      <w:r w:rsidRPr="00EE71D9">
        <w:rPr>
          <w:lang w:val="en-US"/>
        </w:rPr>
        <w:t>Nemr</w:t>
      </w:r>
      <w:proofErr w:type="spellEnd"/>
      <w:r>
        <w:rPr>
          <w:lang w:val="en-US"/>
        </w:rPr>
        <w:t>,</w:t>
      </w:r>
      <w:r w:rsidRPr="00EE71D9">
        <w:rPr>
          <w:lang w:val="en-US"/>
        </w:rPr>
        <w:t xml:space="preserve"> </w:t>
      </w:r>
      <w:proofErr w:type="spellStart"/>
      <w:r w:rsidRPr="00EE71D9">
        <w:rPr>
          <w:lang w:val="en-US"/>
        </w:rPr>
        <w:t>F</w:t>
      </w:r>
      <w:r>
        <w:rPr>
          <w:lang w:val="en-US"/>
        </w:rPr>
        <w:t>.</w:t>
      </w:r>
      <w:r w:rsidRPr="00EE71D9">
        <w:rPr>
          <w:lang w:val="en-US"/>
        </w:rPr>
        <w:t>M</w:t>
      </w:r>
      <w:proofErr w:type="spellEnd"/>
      <w:proofErr w:type="gramStart"/>
      <w:r>
        <w:rPr>
          <w:lang w:val="en-US"/>
        </w:rPr>
        <w:t xml:space="preserve">. </w:t>
      </w:r>
      <w:r w:rsidRPr="00EE71D9">
        <w:rPr>
          <w:lang w:val="en-US"/>
        </w:rPr>
        <w:t>,</w:t>
      </w:r>
      <w:proofErr w:type="gramEnd"/>
      <w:r w:rsidRPr="00EE71D9">
        <w:rPr>
          <w:lang w:val="en-US"/>
        </w:rPr>
        <w:t xml:space="preserve"> </w:t>
      </w:r>
      <w:proofErr w:type="spellStart"/>
      <w:r w:rsidRPr="00EE71D9">
        <w:rPr>
          <w:lang w:val="en-US"/>
        </w:rPr>
        <w:t>Bahbah</w:t>
      </w:r>
      <w:proofErr w:type="spellEnd"/>
      <w:r>
        <w:rPr>
          <w:lang w:val="en-US"/>
        </w:rPr>
        <w:t>,</w:t>
      </w:r>
      <w:r w:rsidRPr="00EE71D9">
        <w:rPr>
          <w:lang w:val="en-US"/>
        </w:rPr>
        <w:t xml:space="preserve"> </w:t>
      </w:r>
      <w:proofErr w:type="spellStart"/>
      <w:r w:rsidRPr="00EE71D9">
        <w:rPr>
          <w:lang w:val="en-US"/>
        </w:rPr>
        <w:t>M</w:t>
      </w:r>
      <w:r>
        <w:rPr>
          <w:lang w:val="en-US"/>
        </w:rPr>
        <w:t>.</w:t>
      </w:r>
      <w:r w:rsidRPr="00EE71D9">
        <w:rPr>
          <w:lang w:val="en-US"/>
        </w:rPr>
        <w:t>B</w:t>
      </w:r>
      <w:proofErr w:type="spellEnd"/>
      <w:r>
        <w:rPr>
          <w:lang w:val="en-US"/>
        </w:rPr>
        <w:t>.</w:t>
      </w:r>
      <w:r w:rsidRPr="00EE71D9">
        <w:rPr>
          <w:lang w:val="en-US"/>
        </w:rPr>
        <w:t xml:space="preserve">, </w:t>
      </w:r>
      <w:proofErr w:type="spellStart"/>
      <w:r w:rsidRPr="00EE71D9">
        <w:rPr>
          <w:lang w:val="en-US"/>
        </w:rPr>
        <w:t>Shokry</w:t>
      </w:r>
      <w:proofErr w:type="spellEnd"/>
      <w:r>
        <w:rPr>
          <w:lang w:val="en-US"/>
        </w:rPr>
        <w:t>,</w:t>
      </w:r>
      <w:r w:rsidRPr="00EE71D9">
        <w:rPr>
          <w:lang w:val="en-US"/>
        </w:rPr>
        <w:t xml:space="preserve"> M</w:t>
      </w:r>
      <w:r>
        <w:rPr>
          <w:lang w:val="en-US"/>
        </w:rPr>
        <w:t>.</w:t>
      </w:r>
      <w:r w:rsidRPr="00EE71D9">
        <w:rPr>
          <w:lang w:val="en-US"/>
        </w:rPr>
        <w:t xml:space="preserve">, </w:t>
      </w:r>
      <w:proofErr w:type="spellStart"/>
      <w:r w:rsidRPr="00EE71D9">
        <w:rPr>
          <w:lang w:val="en-US"/>
        </w:rPr>
        <w:t>Attia</w:t>
      </w:r>
      <w:proofErr w:type="spellEnd"/>
      <w:r>
        <w:rPr>
          <w:lang w:val="en-US"/>
        </w:rPr>
        <w:t>,</w:t>
      </w:r>
      <w:r w:rsidRPr="00EE71D9">
        <w:rPr>
          <w:lang w:val="en-US"/>
        </w:rPr>
        <w:t xml:space="preserve"> A</w:t>
      </w:r>
      <w:r>
        <w:rPr>
          <w:lang w:val="en-US"/>
        </w:rPr>
        <w:t>.</w:t>
      </w:r>
      <w:r w:rsidRPr="00EE71D9">
        <w:rPr>
          <w:lang w:val="en-US"/>
        </w:rPr>
        <w:t xml:space="preserve"> </w:t>
      </w:r>
      <w:r>
        <w:rPr>
          <w:lang w:val="en-US"/>
        </w:rPr>
        <w:t>(</w:t>
      </w:r>
      <w:r w:rsidRPr="001A6EF6">
        <w:rPr>
          <w:lang w:val="en-US"/>
        </w:rPr>
        <w:t>201</w:t>
      </w:r>
      <w:r>
        <w:rPr>
          <w:lang w:val="en-US"/>
        </w:rPr>
        <w:t>4).</w:t>
      </w:r>
      <w:r w:rsidRPr="001A6EF6">
        <w:rPr>
          <w:lang w:val="en-US"/>
        </w:rPr>
        <w:t xml:space="preserve"> </w:t>
      </w:r>
      <w:r w:rsidRPr="00EE71D9">
        <w:rPr>
          <w:lang w:val="en-US"/>
        </w:rPr>
        <w:t xml:space="preserve">The Role of Urine Screening (In School Children of </w:t>
      </w:r>
      <w:proofErr w:type="spellStart"/>
      <w:r w:rsidRPr="00EE71D9">
        <w:rPr>
          <w:lang w:val="en-US"/>
        </w:rPr>
        <w:t>Menoufiya</w:t>
      </w:r>
      <w:proofErr w:type="spellEnd"/>
      <w:r w:rsidRPr="00EE71D9">
        <w:rPr>
          <w:lang w:val="en-US"/>
        </w:rPr>
        <w:t xml:space="preserve"> Governorate) In Early Detection of Renal Disorders. </w:t>
      </w:r>
      <w:proofErr w:type="spellStart"/>
      <w:r w:rsidRPr="00987F39">
        <w:rPr>
          <w:iCs/>
        </w:rPr>
        <w:t>Journalof</w:t>
      </w:r>
      <w:proofErr w:type="spellEnd"/>
      <w:r w:rsidRPr="00987F39">
        <w:rPr>
          <w:iCs/>
        </w:rPr>
        <w:t xml:space="preserve"> American Science</w:t>
      </w:r>
      <w:r w:rsidRPr="00987F39">
        <w:t>2014; 10: 143-150.</w:t>
      </w:r>
    </w:p>
    <w:p w:rsidR="00987F39" w:rsidRPr="00B400C0" w:rsidRDefault="00987F39" w:rsidP="0089471B">
      <w:pPr>
        <w:spacing w:line="360" w:lineRule="auto"/>
        <w:ind w:left="567" w:hanging="567"/>
        <w:jc w:val="both"/>
        <w:rPr>
          <w:rFonts w:eastAsia="Calibri"/>
        </w:rPr>
      </w:pPr>
      <w:r w:rsidRPr="005E1E9C">
        <w:rPr>
          <w:rFonts w:eastAsia="Calibri"/>
        </w:rPr>
        <w:t>Estévez-Capacho</w:t>
      </w:r>
      <w:r>
        <w:rPr>
          <w:rFonts w:eastAsia="Calibri"/>
        </w:rPr>
        <w:t>,</w:t>
      </w:r>
      <w:r w:rsidRPr="005E1E9C">
        <w:rPr>
          <w:rFonts w:eastAsia="Calibri"/>
        </w:rPr>
        <w:t xml:space="preserve"> M</w:t>
      </w:r>
      <w:r>
        <w:rPr>
          <w:rFonts w:eastAsia="Calibri"/>
        </w:rPr>
        <w:t xml:space="preserve">. </w:t>
      </w:r>
      <w:r w:rsidRPr="005E1E9C">
        <w:rPr>
          <w:rFonts w:eastAsia="Calibri"/>
        </w:rPr>
        <w:t>A, Moreno-Díaz</w:t>
      </w:r>
      <w:r>
        <w:rPr>
          <w:rFonts w:eastAsia="Calibri"/>
        </w:rPr>
        <w:t>,</w:t>
      </w:r>
      <w:r w:rsidRPr="005E1E9C">
        <w:rPr>
          <w:rFonts w:eastAsia="Calibri"/>
        </w:rPr>
        <w:t xml:space="preserve"> N</w:t>
      </w:r>
      <w:r>
        <w:rPr>
          <w:rFonts w:eastAsia="Calibri"/>
        </w:rPr>
        <w:t xml:space="preserve">. </w:t>
      </w:r>
      <w:r w:rsidRPr="005E1E9C">
        <w:rPr>
          <w:rFonts w:eastAsia="Calibri"/>
        </w:rPr>
        <w:t>X</w:t>
      </w:r>
      <w:r>
        <w:rPr>
          <w:rFonts w:eastAsia="Calibri"/>
        </w:rPr>
        <w:t>.</w:t>
      </w:r>
      <w:r w:rsidRPr="005E1E9C">
        <w:rPr>
          <w:rFonts w:eastAsia="Calibri"/>
        </w:rPr>
        <w:t xml:space="preserve"> y Martínez-Cáceres L</w:t>
      </w:r>
      <w:r>
        <w:rPr>
          <w:rFonts w:eastAsia="Calibri"/>
        </w:rPr>
        <w:t xml:space="preserve">. </w:t>
      </w:r>
      <w:r w:rsidRPr="005E1E9C">
        <w:rPr>
          <w:rFonts w:eastAsia="Calibri"/>
        </w:rPr>
        <w:t xml:space="preserve">E. </w:t>
      </w:r>
      <w:r>
        <w:t xml:space="preserve">(2015).   </w:t>
      </w:r>
      <w:r w:rsidRPr="005E1E9C">
        <w:rPr>
          <w:rFonts w:eastAsia="Calibri"/>
        </w:rPr>
        <w:t xml:space="preserve">Caracterización de la hematuria en pacientes pediátricos atendidos en una clínica de atención pediátrica en Bucaramanga, Santander, Colombia. </w:t>
      </w:r>
      <w:proofErr w:type="spellStart"/>
      <w:r w:rsidRPr="005E1E9C">
        <w:rPr>
          <w:rFonts w:eastAsia="Calibri"/>
        </w:rPr>
        <w:t>Med</w:t>
      </w:r>
      <w:proofErr w:type="spellEnd"/>
      <w:r>
        <w:rPr>
          <w:rFonts w:eastAsia="Calibri"/>
        </w:rPr>
        <w:t xml:space="preserve"> </w:t>
      </w:r>
      <w:proofErr w:type="spellStart"/>
      <w:r w:rsidRPr="005E1E9C">
        <w:rPr>
          <w:rFonts w:eastAsia="Calibri"/>
        </w:rPr>
        <w:t>UNAB</w:t>
      </w:r>
      <w:proofErr w:type="spellEnd"/>
      <w:r w:rsidRPr="005E1E9C">
        <w:rPr>
          <w:rFonts w:eastAsia="Calibri"/>
        </w:rPr>
        <w:t xml:space="preserve"> 18(3):174–81. </w:t>
      </w:r>
      <w:r>
        <w:rPr>
          <w:rFonts w:eastAsia="Calibri"/>
        </w:rPr>
        <w:t xml:space="preserve">Recuperado de </w:t>
      </w:r>
      <w:r w:rsidRPr="00852106">
        <w:rPr>
          <w:rFonts w:eastAsia="Calibri"/>
        </w:rPr>
        <w:t>http://web.a.ebscohost.com/ehost/</w:t>
      </w:r>
      <w:r w:rsidRPr="00852106">
        <w:rPr>
          <w:rStyle w:val="Hipervnculo"/>
          <w:rFonts w:eastAsia="Calibri"/>
          <w:color w:val="auto"/>
          <w:u w:val="none"/>
        </w:rPr>
        <w:t>pdfviewer/?vid</w:t>
      </w:r>
      <w:hyperlink r:id="rId19" w:history="1">
        <w:r w:rsidRPr="00852106">
          <w:rPr>
            <w:rStyle w:val="Hipervnculo"/>
            <w:rFonts w:eastAsia="Calibri"/>
            <w:color w:val="auto"/>
            <w:u w:val="none"/>
          </w:rPr>
          <w:t>=3&amp;sid=c6f0608c-a17c-4a26-8e45-69a7bda2355c%40sessionmgr4007</w:t>
        </w:r>
      </w:hyperlink>
    </w:p>
    <w:p w:rsidR="00987F39" w:rsidRDefault="00987F39" w:rsidP="00F71714">
      <w:pPr>
        <w:pStyle w:val="NormalWeb"/>
        <w:spacing w:before="0" w:beforeAutospacing="0" w:after="0" w:afterAutospacing="0" w:line="360" w:lineRule="auto"/>
        <w:ind w:left="567" w:hanging="567"/>
        <w:jc w:val="both"/>
      </w:pPr>
      <w:proofErr w:type="spellStart"/>
      <w:r w:rsidRPr="00D40080">
        <w:t>Gander</w:t>
      </w:r>
      <w:proofErr w:type="spellEnd"/>
      <w:r w:rsidRPr="00D40080">
        <w:t xml:space="preserve">, R., Asensio, M., </w:t>
      </w:r>
      <w:proofErr w:type="spellStart"/>
      <w:r w:rsidRPr="00D40080">
        <w:t>Fatou</w:t>
      </w:r>
      <w:proofErr w:type="spellEnd"/>
      <w:r>
        <w:t>-</w:t>
      </w:r>
      <w:r w:rsidRPr="00D40080">
        <w:t xml:space="preserve"> Royo</w:t>
      </w:r>
      <w:r>
        <w:t>, G., Martin-</w:t>
      </w:r>
      <w:r w:rsidRPr="00D40080">
        <w:t>Osorio</w:t>
      </w:r>
      <w:r>
        <w:t>,</w:t>
      </w:r>
      <w:r w:rsidRPr="00D40080">
        <w:t xml:space="preserve"> </w:t>
      </w:r>
      <w:proofErr w:type="spellStart"/>
      <w:r w:rsidRPr="00D40080">
        <w:t>J.A</w:t>
      </w:r>
      <w:proofErr w:type="spellEnd"/>
      <w:r w:rsidRPr="00D40080">
        <w:t xml:space="preserve">., </w:t>
      </w:r>
      <w:proofErr w:type="spellStart"/>
      <w:r w:rsidRPr="00D40080">
        <w:t>Lloret</w:t>
      </w:r>
      <w:proofErr w:type="spellEnd"/>
      <w:r>
        <w:t>,</w:t>
      </w:r>
      <w:r w:rsidRPr="00D40080">
        <w:t xml:space="preserve"> J. </w:t>
      </w:r>
      <w:r>
        <w:t>(2014).</w:t>
      </w:r>
      <w:r w:rsidRPr="00D40080">
        <w:t>Causas</w:t>
      </w:r>
      <w:r w:rsidR="0089471B">
        <w:t xml:space="preserve"> </w:t>
      </w:r>
      <w:r>
        <w:t xml:space="preserve">              </w:t>
      </w:r>
      <w:r w:rsidRPr="00D40080">
        <w:t xml:space="preserve">excepcionales de hematuria en la infancia y en la adolescencia. </w:t>
      </w:r>
      <w:proofErr w:type="spellStart"/>
      <w:r w:rsidRPr="00D40080">
        <w:t>Cir</w:t>
      </w:r>
      <w:proofErr w:type="spellEnd"/>
      <w:r w:rsidRPr="00D40080">
        <w:t xml:space="preserve"> </w:t>
      </w:r>
      <w:proofErr w:type="spellStart"/>
      <w:r w:rsidRPr="00D40080">
        <w:t>Pediatr</w:t>
      </w:r>
      <w:proofErr w:type="spellEnd"/>
      <w:r w:rsidRPr="00D40080">
        <w:t xml:space="preserve"> 2014; 27: 89-92</w:t>
      </w:r>
      <w:r>
        <w:t>.</w:t>
      </w:r>
    </w:p>
    <w:p w:rsidR="00987F39" w:rsidRPr="00987F39" w:rsidRDefault="00987F39" w:rsidP="00F71714">
      <w:pPr>
        <w:spacing w:line="360" w:lineRule="auto"/>
        <w:ind w:left="567" w:hanging="567"/>
        <w:jc w:val="both"/>
      </w:pPr>
      <w:r w:rsidRPr="00B400C0">
        <w:t xml:space="preserve">Gordillo, G., Ramón, A., &amp; De la Cruz, J. </w:t>
      </w:r>
      <w:r w:rsidRPr="00B400C0">
        <w:rPr>
          <w:rFonts w:eastAsiaTheme="minorHAnsi"/>
          <w:bCs/>
          <w:color w:val="000000"/>
          <w:lang w:eastAsia="en-US"/>
        </w:rPr>
        <w:t xml:space="preserve">(2010). </w:t>
      </w:r>
      <w:r w:rsidRPr="00B400C0">
        <w:t xml:space="preserve">Nefrología Pediátrica. </w:t>
      </w:r>
      <w:proofErr w:type="spellStart"/>
      <w:r w:rsidRPr="00B400C0">
        <w:t>Mosby</w:t>
      </w:r>
      <w:proofErr w:type="spellEnd"/>
      <w:r w:rsidRPr="00B400C0">
        <w:t>/</w:t>
      </w:r>
      <w:proofErr w:type="spellStart"/>
      <w:r w:rsidRPr="00B400C0">
        <w:t>Doyma</w:t>
      </w:r>
      <w:proofErr w:type="spellEnd"/>
      <w:r w:rsidRPr="00B400C0">
        <w:t xml:space="preserve">. Libros. </w:t>
      </w:r>
      <w:r w:rsidRPr="00987F39">
        <w:t xml:space="preserve">México. D. F </w:t>
      </w:r>
      <w:proofErr w:type="spellStart"/>
      <w:r w:rsidRPr="00987F39">
        <w:t>pág</w:t>
      </w:r>
      <w:proofErr w:type="spellEnd"/>
      <w:r w:rsidRPr="00987F39">
        <w:t xml:space="preserve"> 67-77.</w:t>
      </w:r>
    </w:p>
    <w:p w:rsidR="00987F39" w:rsidRPr="00B400C0" w:rsidRDefault="00987F39" w:rsidP="00F71714">
      <w:pPr>
        <w:spacing w:line="360" w:lineRule="auto"/>
        <w:ind w:left="567" w:hanging="567"/>
        <w:jc w:val="both"/>
        <w:rPr>
          <w:rFonts w:eastAsiaTheme="minorHAnsi"/>
          <w:iCs/>
          <w:lang w:val="en-US" w:eastAsia="en-US"/>
        </w:rPr>
      </w:pPr>
      <w:proofErr w:type="spellStart"/>
      <w:r w:rsidRPr="00987F39">
        <w:rPr>
          <w:rFonts w:eastAsiaTheme="minorHAnsi"/>
          <w:lang w:eastAsia="en-US"/>
        </w:rPr>
        <w:t>Halachmi</w:t>
      </w:r>
      <w:proofErr w:type="spellEnd"/>
      <w:r w:rsidRPr="00987F39">
        <w:rPr>
          <w:rFonts w:eastAsiaTheme="minorHAnsi"/>
          <w:lang w:eastAsia="en-US"/>
        </w:rPr>
        <w:t xml:space="preserve">, S., </w:t>
      </w:r>
      <w:proofErr w:type="spellStart"/>
      <w:r w:rsidRPr="00987F39">
        <w:rPr>
          <w:rFonts w:eastAsiaTheme="minorHAnsi"/>
          <w:lang w:eastAsia="en-US"/>
        </w:rPr>
        <w:t>Kakiashvili</w:t>
      </w:r>
      <w:proofErr w:type="spellEnd"/>
      <w:r w:rsidRPr="00987F39">
        <w:rPr>
          <w:rFonts w:eastAsiaTheme="minorHAnsi"/>
          <w:lang w:eastAsia="en-US"/>
        </w:rPr>
        <w:t xml:space="preserve">, D., </w:t>
      </w:r>
      <w:proofErr w:type="spellStart"/>
      <w:r w:rsidRPr="00987F39">
        <w:rPr>
          <w:rFonts w:eastAsiaTheme="minorHAnsi"/>
          <w:lang w:eastAsia="en-US"/>
        </w:rPr>
        <w:t>Meretyk</w:t>
      </w:r>
      <w:proofErr w:type="spellEnd"/>
      <w:r w:rsidRPr="00987F39">
        <w:rPr>
          <w:rFonts w:eastAsiaTheme="minorHAnsi"/>
          <w:lang w:eastAsia="en-US"/>
        </w:rPr>
        <w:t xml:space="preserve">, S. </w:t>
      </w:r>
      <w:r w:rsidRPr="00987F39">
        <w:rPr>
          <w:rFonts w:eastAsiaTheme="minorHAnsi"/>
          <w:bCs/>
          <w:lang w:eastAsia="en-US"/>
        </w:rPr>
        <w:t>A.</w:t>
      </w:r>
      <w:r w:rsidRPr="00987F39">
        <w:rPr>
          <w:rFonts w:eastAsiaTheme="minorHAnsi"/>
          <w:iCs/>
          <w:lang w:eastAsia="en-US"/>
        </w:rPr>
        <w:t xml:space="preserve"> (2016). </w:t>
      </w:r>
      <w:r w:rsidRPr="00987F39">
        <w:rPr>
          <w:rFonts w:eastAsiaTheme="minorHAnsi"/>
          <w:bCs/>
          <w:lang w:eastAsia="en-US"/>
        </w:rPr>
        <w:t xml:space="preserve"> </w:t>
      </w:r>
      <w:r w:rsidRPr="000A0164">
        <w:rPr>
          <w:rFonts w:eastAsiaTheme="minorHAnsi"/>
          <w:bCs/>
          <w:lang w:val="en-US" w:eastAsia="en-US"/>
        </w:rPr>
        <w:t xml:space="preserve">Review on Hematuria in Children. </w:t>
      </w:r>
      <w:r w:rsidRPr="000A0164">
        <w:rPr>
          <w:rFonts w:eastAsiaTheme="minorHAnsi"/>
          <w:iCs/>
          <w:lang w:val="en-US" w:eastAsia="en-US"/>
        </w:rPr>
        <w:t>The Scientific World Journal 6, 311–317</w:t>
      </w:r>
      <w:r>
        <w:rPr>
          <w:rFonts w:eastAsiaTheme="minorHAnsi"/>
          <w:iCs/>
          <w:lang w:val="en-US" w:eastAsia="en-US"/>
        </w:rPr>
        <w:t>.</w:t>
      </w:r>
    </w:p>
    <w:p w:rsidR="00987F39" w:rsidRDefault="00987F39" w:rsidP="00F71714">
      <w:pPr>
        <w:spacing w:line="360" w:lineRule="auto"/>
        <w:ind w:left="567" w:hanging="567"/>
        <w:jc w:val="both"/>
        <w:rPr>
          <w:rStyle w:val="Hipervnculo"/>
          <w:rFonts w:eastAsiaTheme="minorHAnsi"/>
          <w:iCs/>
          <w:lang w:val="en-US" w:eastAsia="en-US"/>
        </w:rPr>
      </w:pPr>
      <w:proofErr w:type="spellStart"/>
      <w:r w:rsidRPr="00B400C0">
        <w:rPr>
          <w:rFonts w:eastAsiaTheme="minorHAnsi"/>
          <w:iCs/>
          <w:lang w:val="en-US" w:eastAsia="en-US"/>
        </w:rPr>
        <w:t>Hothan</w:t>
      </w:r>
      <w:proofErr w:type="spellEnd"/>
      <w:r w:rsidRPr="00B400C0">
        <w:rPr>
          <w:rFonts w:eastAsiaTheme="minorHAnsi"/>
          <w:iCs/>
          <w:lang w:val="en-US" w:eastAsia="en-US"/>
        </w:rPr>
        <w:t xml:space="preserve">, K. A., </w:t>
      </w:r>
      <w:proofErr w:type="spellStart"/>
      <w:r w:rsidRPr="00B400C0">
        <w:rPr>
          <w:rFonts w:eastAsiaTheme="minorHAnsi"/>
          <w:iCs/>
          <w:lang w:val="en-US" w:eastAsia="en-US"/>
        </w:rPr>
        <w:t>Alasmari</w:t>
      </w:r>
      <w:proofErr w:type="spellEnd"/>
      <w:r w:rsidRPr="00B400C0">
        <w:rPr>
          <w:rFonts w:eastAsiaTheme="minorHAnsi"/>
          <w:iCs/>
          <w:lang w:val="en-US" w:eastAsia="en-US"/>
        </w:rPr>
        <w:t xml:space="preserve">, B. A., </w:t>
      </w:r>
      <w:proofErr w:type="spellStart"/>
      <w:r w:rsidRPr="00B400C0">
        <w:rPr>
          <w:rFonts w:eastAsiaTheme="minorHAnsi"/>
          <w:iCs/>
          <w:lang w:val="en-US" w:eastAsia="en-US"/>
        </w:rPr>
        <w:t>Alkhelaiwi</w:t>
      </w:r>
      <w:proofErr w:type="spellEnd"/>
      <w:r w:rsidRPr="00B400C0">
        <w:rPr>
          <w:rFonts w:eastAsiaTheme="minorHAnsi"/>
          <w:iCs/>
          <w:lang w:val="en-US" w:eastAsia="en-US"/>
        </w:rPr>
        <w:t xml:space="preserve">, O.K., </w:t>
      </w:r>
      <w:proofErr w:type="spellStart"/>
      <w:r w:rsidRPr="00B400C0">
        <w:rPr>
          <w:rFonts w:eastAsiaTheme="minorHAnsi"/>
          <w:iCs/>
          <w:lang w:val="en-US" w:eastAsia="en-US"/>
        </w:rPr>
        <w:t>Althagafi</w:t>
      </w:r>
      <w:proofErr w:type="spellEnd"/>
      <w:r w:rsidRPr="00B400C0">
        <w:rPr>
          <w:rFonts w:eastAsiaTheme="minorHAnsi"/>
          <w:iCs/>
          <w:lang w:val="en-US" w:eastAsia="en-US"/>
        </w:rPr>
        <w:t xml:space="preserve">, </w:t>
      </w:r>
      <w:proofErr w:type="spellStart"/>
      <w:r w:rsidRPr="00B400C0">
        <w:rPr>
          <w:rFonts w:eastAsiaTheme="minorHAnsi"/>
          <w:iCs/>
          <w:lang w:val="en-US" w:eastAsia="en-US"/>
        </w:rPr>
        <w:t>K.M</w:t>
      </w:r>
      <w:proofErr w:type="spellEnd"/>
      <w:r w:rsidRPr="00B400C0">
        <w:rPr>
          <w:rFonts w:eastAsiaTheme="minorHAnsi"/>
          <w:iCs/>
          <w:lang w:val="en-US" w:eastAsia="en-US"/>
        </w:rPr>
        <w:t xml:space="preserve">., </w:t>
      </w:r>
      <w:proofErr w:type="spellStart"/>
      <w:r w:rsidRPr="00B400C0">
        <w:rPr>
          <w:rFonts w:eastAsiaTheme="minorHAnsi"/>
          <w:iCs/>
          <w:lang w:val="en-US" w:eastAsia="en-US"/>
        </w:rPr>
        <w:t>Alkhaldi</w:t>
      </w:r>
      <w:proofErr w:type="spellEnd"/>
      <w:r w:rsidRPr="00B400C0">
        <w:rPr>
          <w:rFonts w:eastAsiaTheme="minorHAnsi"/>
          <w:iCs/>
          <w:lang w:val="en-US" w:eastAsia="en-US"/>
        </w:rPr>
        <w:t xml:space="preserve">, A. A, et al. </w:t>
      </w:r>
      <w:r w:rsidRPr="004E49CD">
        <w:rPr>
          <w:rFonts w:eastAsiaTheme="minorHAnsi"/>
          <w:bCs/>
          <w:lang w:val="en-US" w:eastAsia="en-US"/>
        </w:rPr>
        <w:t xml:space="preserve">Prevalence of hypertension, obesity, hematuria and proteinuria amongst healthy adolescents living in Western Saudi Arabia. </w:t>
      </w:r>
      <w:r w:rsidRPr="00987F39">
        <w:rPr>
          <w:rFonts w:eastAsiaTheme="minorHAnsi"/>
          <w:iCs/>
          <w:lang w:val="en-US" w:eastAsia="en-US"/>
        </w:rPr>
        <w:t xml:space="preserve">Saudi Med J 2016; Vol. 37 (10): 1120-1126. </w:t>
      </w:r>
      <w:r w:rsidRPr="00852106">
        <w:rPr>
          <w:rFonts w:eastAsiaTheme="minorHAnsi"/>
          <w:iCs/>
          <w:lang w:val="en-US" w:eastAsia="en-US"/>
        </w:rPr>
        <w:t>http://doi:10.15537/smj.2016.10.14784</w:t>
      </w:r>
    </w:p>
    <w:p w:rsidR="00987F39" w:rsidRPr="00987F39" w:rsidRDefault="00987F39" w:rsidP="00F71714">
      <w:pPr>
        <w:spacing w:line="360" w:lineRule="auto"/>
        <w:ind w:left="567" w:hanging="567"/>
        <w:rPr>
          <w:rStyle w:val="Hipervnculo"/>
          <w:rFonts w:eastAsia="Calibri"/>
          <w:color w:val="auto"/>
          <w:u w:val="none"/>
        </w:rPr>
      </w:pPr>
      <w:proofErr w:type="spellStart"/>
      <w:r w:rsidRPr="00B400C0">
        <w:rPr>
          <w:rFonts w:eastAsiaTheme="minorHAnsi"/>
          <w:lang w:val="en-US" w:eastAsia="en-US"/>
        </w:rPr>
        <w:t>Issler</w:t>
      </w:r>
      <w:proofErr w:type="spellEnd"/>
      <w:r w:rsidRPr="00B400C0">
        <w:rPr>
          <w:rFonts w:eastAsiaTheme="minorHAnsi"/>
          <w:lang w:val="en-US" w:eastAsia="en-US"/>
        </w:rPr>
        <w:t xml:space="preserve">, N., </w:t>
      </w:r>
      <w:proofErr w:type="spellStart"/>
      <w:r w:rsidRPr="00B400C0">
        <w:rPr>
          <w:rFonts w:eastAsiaTheme="minorHAnsi"/>
          <w:lang w:val="en-US" w:eastAsia="en-US"/>
        </w:rPr>
        <w:t>Dufek</w:t>
      </w:r>
      <w:proofErr w:type="spellEnd"/>
      <w:r w:rsidRPr="00B400C0">
        <w:rPr>
          <w:rFonts w:eastAsiaTheme="minorHAnsi"/>
          <w:lang w:val="en-US" w:eastAsia="en-US"/>
        </w:rPr>
        <w:t xml:space="preserve">, S., </w:t>
      </w:r>
      <w:proofErr w:type="spellStart"/>
      <w:r w:rsidRPr="00B400C0">
        <w:rPr>
          <w:rFonts w:eastAsiaTheme="minorHAnsi"/>
          <w:lang w:val="en-US" w:eastAsia="en-US"/>
        </w:rPr>
        <w:t>Kleta</w:t>
      </w:r>
      <w:proofErr w:type="spellEnd"/>
      <w:r w:rsidRPr="00B400C0">
        <w:rPr>
          <w:rFonts w:eastAsiaTheme="minorHAnsi"/>
          <w:lang w:val="en-US" w:eastAsia="en-US"/>
        </w:rPr>
        <w:t xml:space="preserve">, R., </w:t>
      </w:r>
      <w:proofErr w:type="spellStart"/>
      <w:r w:rsidRPr="00B400C0">
        <w:rPr>
          <w:rFonts w:eastAsiaTheme="minorHAnsi"/>
          <w:lang w:val="en-US" w:eastAsia="en-US"/>
        </w:rPr>
        <w:t>Bockenhauer</w:t>
      </w:r>
      <w:proofErr w:type="spellEnd"/>
      <w:r w:rsidRPr="00B400C0">
        <w:rPr>
          <w:rFonts w:eastAsiaTheme="minorHAnsi"/>
          <w:lang w:val="en-US" w:eastAsia="en-US"/>
        </w:rPr>
        <w:t xml:space="preserve">, D., </w:t>
      </w:r>
      <w:proofErr w:type="spellStart"/>
      <w:r w:rsidRPr="00B400C0">
        <w:rPr>
          <w:rFonts w:eastAsiaTheme="minorHAnsi"/>
          <w:lang w:val="en-US" w:eastAsia="en-US"/>
        </w:rPr>
        <w:t>Smeulders</w:t>
      </w:r>
      <w:proofErr w:type="spellEnd"/>
      <w:r w:rsidRPr="00B400C0">
        <w:rPr>
          <w:rFonts w:eastAsiaTheme="minorHAnsi"/>
          <w:lang w:val="en-US" w:eastAsia="en-US"/>
        </w:rPr>
        <w:t xml:space="preserve">, N., </w:t>
      </w:r>
      <w:proofErr w:type="spellStart"/>
      <w:r w:rsidRPr="00B400C0">
        <w:rPr>
          <w:rFonts w:eastAsiaTheme="minorHAnsi"/>
          <w:lang w:val="en-US" w:eastAsia="en-US"/>
        </w:rPr>
        <w:t>Van’t</w:t>
      </w:r>
      <w:proofErr w:type="spellEnd"/>
      <w:r w:rsidRPr="00B400C0">
        <w:rPr>
          <w:rFonts w:eastAsiaTheme="minorHAnsi"/>
          <w:lang w:val="en-US" w:eastAsia="en-US"/>
        </w:rPr>
        <w:t xml:space="preserve"> Hoff, W.</w:t>
      </w:r>
      <w:r w:rsidRPr="00B400C0">
        <w:rPr>
          <w:lang w:val="en-US"/>
        </w:rPr>
        <w:t xml:space="preserve"> (2017).</w:t>
      </w:r>
      <w:r w:rsidRPr="00B400C0">
        <w:rPr>
          <w:rFonts w:eastAsiaTheme="minorHAnsi"/>
          <w:lang w:val="en-US" w:eastAsia="en-US"/>
        </w:rPr>
        <w:t xml:space="preserve"> </w:t>
      </w:r>
      <w:r w:rsidRPr="000A0164">
        <w:rPr>
          <w:rFonts w:eastAsiaTheme="minorHAnsi"/>
          <w:lang w:val="en-US" w:eastAsia="en-US"/>
        </w:rPr>
        <w:t xml:space="preserve">Epidemiology of </w:t>
      </w:r>
      <w:proofErr w:type="spellStart"/>
      <w:r w:rsidRPr="000A0164">
        <w:rPr>
          <w:rFonts w:eastAsiaTheme="minorHAnsi"/>
          <w:lang w:val="en-US" w:eastAsia="en-US"/>
        </w:rPr>
        <w:t>paediatric</w:t>
      </w:r>
      <w:proofErr w:type="spellEnd"/>
      <w:r w:rsidRPr="000A0164">
        <w:rPr>
          <w:rFonts w:eastAsiaTheme="minorHAnsi"/>
          <w:lang w:val="en-US" w:eastAsia="en-US"/>
        </w:rPr>
        <w:t xml:space="preserve"> renal stone disease: a 22- year single </w:t>
      </w:r>
      <w:proofErr w:type="spellStart"/>
      <w:r w:rsidRPr="000A0164">
        <w:rPr>
          <w:rFonts w:eastAsiaTheme="minorHAnsi"/>
          <w:lang w:val="en-US" w:eastAsia="en-US"/>
        </w:rPr>
        <w:t>centre</w:t>
      </w:r>
      <w:proofErr w:type="spellEnd"/>
      <w:r w:rsidRPr="000A0164">
        <w:rPr>
          <w:rFonts w:eastAsiaTheme="minorHAnsi"/>
          <w:lang w:val="en-US" w:eastAsia="en-US"/>
        </w:rPr>
        <w:t xml:space="preserve"> ex</w:t>
      </w:r>
      <w:r>
        <w:rPr>
          <w:rFonts w:eastAsiaTheme="minorHAnsi"/>
          <w:lang w:val="en-US" w:eastAsia="en-US"/>
        </w:rPr>
        <w:t xml:space="preserve">perience in the UK. </w:t>
      </w:r>
      <w:proofErr w:type="spellStart"/>
      <w:r w:rsidRPr="00987F39">
        <w:rPr>
          <w:rFonts w:eastAsiaTheme="minorHAnsi"/>
          <w:lang w:eastAsia="en-US"/>
        </w:rPr>
        <w:t>BMC</w:t>
      </w:r>
      <w:proofErr w:type="spellEnd"/>
      <w:r w:rsidRPr="00987F39">
        <w:rPr>
          <w:rFonts w:eastAsiaTheme="minorHAnsi"/>
          <w:lang w:eastAsia="en-US"/>
        </w:rPr>
        <w:t xml:space="preserve"> Nephrol,18(1):136 [</w:t>
      </w:r>
      <w:proofErr w:type="spellStart"/>
      <w:r w:rsidRPr="00987F39">
        <w:rPr>
          <w:rFonts w:eastAsiaTheme="minorHAnsi"/>
          <w:lang w:eastAsia="en-US"/>
        </w:rPr>
        <w:t>PubMed</w:t>
      </w:r>
      <w:proofErr w:type="spellEnd"/>
      <w:r w:rsidRPr="00987F39">
        <w:rPr>
          <w:rFonts w:eastAsiaTheme="minorHAnsi"/>
          <w:lang w:eastAsia="en-US"/>
        </w:rPr>
        <w:t>: 28420322]</w:t>
      </w:r>
    </w:p>
    <w:p w:rsidR="00852106" w:rsidRDefault="00987F39" w:rsidP="00852106">
      <w:pPr>
        <w:spacing w:line="360" w:lineRule="auto"/>
        <w:ind w:left="567" w:hanging="567"/>
        <w:jc w:val="both"/>
        <w:rPr>
          <w:rFonts w:eastAsia="Calibri"/>
        </w:rPr>
      </w:pPr>
      <w:proofErr w:type="spellStart"/>
      <w:r w:rsidRPr="005E1E9C">
        <w:rPr>
          <w:rFonts w:eastAsia="Calibri"/>
        </w:rPr>
        <w:t>Len</w:t>
      </w:r>
      <w:proofErr w:type="spellEnd"/>
      <w:r w:rsidRPr="005E1E9C">
        <w:rPr>
          <w:rFonts w:eastAsia="Calibri"/>
        </w:rPr>
        <w:t xml:space="preserve"> Aguilera </w:t>
      </w:r>
      <w:proofErr w:type="spellStart"/>
      <w:r w:rsidRPr="005E1E9C">
        <w:rPr>
          <w:rFonts w:eastAsia="Calibri"/>
        </w:rPr>
        <w:t>JC</w:t>
      </w:r>
      <w:proofErr w:type="spellEnd"/>
      <w:r w:rsidRPr="005E1E9C">
        <w:rPr>
          <w:rFonts w:eastAsia="Calibri"/>
        </w:rPr>
        <w:t xml:space="preserve"> y de la Mata Franco G. Hematuria y síndrome nefrítico. </w:t>
      </w:r>
      <w:r>
        <w:t xml:space="preserve">(2015). </w:t>
      </w:r>
      <w:r w:rsidRPr="005E1E9C">
        <w:rPr>
          <w:rFonts w:eastAsia="Calibri"/>
        </w:rPr>
        <w:t xml:space="preserve">El </w:t>
      </w:r>
      <w:r>
        <w:rPr>
          <w:rFonts w:eastAsia="Calibri"/>
        </w:rPr>
        <w:t xml:space="preserve"> </w:t>
      </w:r>
      <w:r w:rsidRPr="005E1E9C">
        <w:rPr>
          <w:rFonts w:eastAsia="Calibri"/>
        </w:rPr>
        <w:t>portal de la formación AEP</w:t>
      </w:r>
      <w:r>
        <w:rPr>
          <w:rFonts w:eastAsia="Calibri"/>
        </w:rPr>
        <w:t>,</w:t>
      </w:r>
      <w:r w:rsidRPr="005E1E9C">
        <w:rPr>
          <w:rFonts w:eastAsia="Calibri"/>
        </w:rPr>
        <w:t xml:space="preserve">   1-22.  </w:t>
      </w:r>
      <w:r>
        <w:rPr>
          <w:rFonts w:eastAsia="Calibri"/>
        </w:rPr>
        <w:t>Recuperado de</w:t>
      </w:r>
      <w:r w:rsidR="00852106">
        <w:rPr>
          <w:rFonts w:eastAsia="Calibri"/>
        </w:rPr>
        <w:t>:</w:t>
      </w:r>
    </w:p>
    <w:p w:rsidR="00987F39" w:rsidRPr="00852106" w:rsidRDefault="00852106" w:rsidP="00852106">
      <w:pPr>
        <w:spacing w:line="360" w:lineRule="auto"/>
        <w:ind w:left="567" w:hanging="567"/>
        <w:jc w:val="both"/>
        <w:rPr>
          <w:rStyle w:val="Hipervnculo"/>
          <w:rFonts w:eastAsia="Calibri"/>
          <w:color w:val="auto"/>
          <w:u w:val="none"/>
        </w:rPr>
      </w:pPr>
      <w:r>
        <w:rPr>
          <w:rFonts w:eastAsia="Calibri"/>
        </w:rPr>
        <w:t xml:space="preserve">         </w:t>
      </w:r>
      <w:r w:rsidR="00987F39" w:rsidRPr="005E1E9C">
        <w:rPr>
          <w:rFonts w:eastAsia="Calibri"/>
        </w:rPr>
        <w:t xml:space="preserve"> </w:t>
      </w:r>
      <w:r w:rsidR="00987F39" w:rsidRPr="00852106">
        <w:rPr>
          <w:rFonts w:eastAsia="Calibri"/>
          <w:sz w:val="22"/>
          <w:szCs w:val="22"/>
        </w:rPr>
        <w:t>https://continuum.aeped.es/files/guias/Material_descarga_unidad_3_patologia_nefrologica.pdf</w:t>
      </w:r>
    </w:p>
    <w:p w:rsidR="00987F39" w:rsidRPr="00987F39" w:rsidRDefault="00987F39" w:rsidP="00F71714">
      <w:pPr>
        <w:spacing w:line="360" w:lineRule="auto"/>
        <w:ind w:left="567" w:hanging="567"/>
        <w:jc w:val="both"/>
        <w:rPr>
          <w:lang w:val="en-US"/>
        </w:rPr>
      </w:pPr>
      <w:r w:rsidRPr="00EE71D9">
        <w:rPr>
          <w:lang w:val="en-US"/>
        </w:rPr>
        <w:t xml:space="preserve">Lunn, A., Forbes, T. A. </w:t>
      </w:r>
      <w:proofErr w:type="spellStart"/>
      <w:r w:rsidRPr="00EE71D9">
        <w:rPr>
          <w:lang w:val="en-US"/>
        </w:rPr>
        <w:t>Haematuria</w:t>
      </w:r>
      <w:proofErr w:type="spellEnd"/>
      <w:r w:rsidRPr="00EE71D9">
        <w:rPr>
          <w:lang w:val="en-US"/>
        </w:rPr>
        <w:t xml:space="preserve"> and proteinuria in </w:t>
      </w:r>
      <w:proofErr w:type="spellStart"/>
      <w:r w:rsidRPr="00EE71D9">
        <w:rPr>
          <w:lang w:val="en-US"/>
        </w:rPr>
        <w:t>childhood.Paediatrics</w:t>
      </w:r>
      <w:proofErr w:type="spellEnd"/>
      <w:r w:rsidRPr="00EE71D9">
        <w:rPr>
          <w:lang w:val="en-US"/>
        </w:rPr>
        <w:t xml:space="preserve"> and Child Health. </w:t>
      </w:r>
      <w:r w:rsidRPr="00987F39">
        <w:rPr>
          <w:lang w:val="en-US"/>
        </w:rPr>
        <w:t xml:space="preserve">2012; 22(8):315-21. </w:t>
      </w:r>
    </w:p>
    <w:p w:rsidR="00987F39" w:rsidRPr="00987F39" w:rsidRDefault="00987F39" w:rsidP="00F71714">
      <w:pPr>
        <w:spacing w:line="360" w:lineRule="auto"/>
        <w:ind w:left="567" w:hanging="567"/>
        <w:rPr>
          <w:rFonts w:eastAsia="Calibri"/>
        </w:rPr>
      </w:pPr>
      <w:proofErr w:type="spellStart"/>
      <w:r w:rsidRPr="00736864">
        <w:rPr>
          <w:rFonts w:eastAsiaTheme="minorHAnsi"/>
          <w:lang w:val="en-US" w:eastAsia="en-US"/>
        </w:rPr>
        <w:lastRenderedPageBreak/>
        <w:t>Moghtaderi</w:t>
      </w:r>
      <w:proofErr w:type="spellEnd"/>
      <w:r>
        <w:rPr>
          <w:rFonts w:eastAsiaTheme="minorHAnsi"/>
          <w:lang w:val="en-US" w:eastAsia="en-US"/>
        </w:rPr>
        <w:t>,</w:t>
      </w:r>
      <w:r w:rsidRPr="00736864">
        <w:rPr>
          <w:rFonts w:eastAsiaTheme="minorHAnsi"/>
          <w:lang w:val="en-US" w:eastAsia="en-US"/>
        </w:rPr>
        <w:t xml:space="preserve"> M</w:t>
      </w:r>
      <w:r>
        <w:rPr>
          <w:rFonts w:eastAsiaTheme="minorHAnsi"/>
          <w:lang w:val="en-US" w:eastAsia="en-US"/>
        </w:rPr>
        <w:t>.</w:t>
      </w:r>
      <w:r w:rsidRPr="00736864">
        <w:rPr>
          <w:rFonts w:eastAsiaTheme="minorHAnsi"/>
          <w:lang w:val="en-US" w:eastAsia="en-US"/>
        </w:rPr>
        <w:t xml:space="preserve">, </w:t>
      </w:r>
      <w:proofErr w:type="spellStart"/>
      <w:r w:rsidRPr="00736864">
        <w:rPr>
          <w:rFonts w:eastAsiaTheme="minorHAnsi"/>
          <w:lang w:val="en-US" w:eastAsia="en-US"/>
        </w:rPr>
        <w:t>Noohi</w:t>
      </w:r>
      <w:proofErr w:type="spellEnd"/>
      <w:r>
        <w:rPr>
          <w:rFonts w:eastAsiaTheme="minorHAnsi"/>
          <w:lang w:val="en-US" w:eastAsia="en-US"/>
        </w:rPr>
        <w:t>,</w:t>
      </w:r>
      <w:r w:rsidRPr="00736864">
        <w:rPr>
          <w:rFonts w:eastAsiaTheme="minorHAnsi"/>
          <w:lang w:val="en-US" w:eastAsia="en-US"/>
        </w:rPr>
        <w:t xml:space="preserve"> A</w:t>
      </w:r>
      <w:r>
        <w:rPr>
          <w:rFonts w:eastAsiaTheme="minorHAnsi"/>
          <w:lang w:val="en-US" w:eastAsia="en-US"/>
        </w:rPr>
        <w:t>.</w:t>
      </w:r>
      <w:r w:rsidRPr="00736864">
        <w:rPr>
          <w:rFonts w:eastAsiaTheme="minorHAnsi"/>
          <w:lang w:val="en-US" w:eastAsia="en-US"/>
        </w:rPr>
        <w:t xml:space="preserve">, </w:t>
      </w:r>
      <w:proofErr w:type="spellStart"/>
      <w:r w:rsidRPr="00736864">
        <w:rPr>
          <w:rFonts w:eastAsiaTheme="minorHAnsi"/>
          <w:lang w:val="en-US" w:eastAsia="en-US"/>
        </w:rPr>
        <w:t>Safaeyan</w:t>
      </w:r>
      <w:proofErr w:type="spellEnd"/>
      <w:r>
        <w:rPr>
          <w:rFonts w:eastAsiaTheme="minorHAnsi"/>
          <w:lang w:val="en-US" w:eastAsia="en-US"/>
        </w:rPr>
        <w:t>,</w:t>
      </w:r>
      <w:r w:rsidRPr="00736864">
        <w:rPr>
          <w:rFonts w:eastAsiaTheme="minorHAnsi"/>
          <w:lang w:val="en-US" w:eastAsia="en-US"/>
        </w:rPr>
        <w:t xml:space="preserve"> B</w:t>
      </w:r>
      <w:r>
        <w:rPr>
          <w:rFonts w:eastAsiaTheme="minorHAnsi"/>
          <w:lang w:val="en-US" w:eastAsia="en-US"/>
        </w:rPr>
        <w:t>.</w:t>
      </w:r>
      <w:r w:rsidRPr="00736864">
        <w:rPr>
          <w:rFonts w:eastAsiaTheme="minorHAnsi"/>
          <w:lang w:val="en-US" w:eastAsia="en-US"/>
        </w:rPr>
        <w:t xml:space="preserve">, </w:t>
      </w:r>
      <w:proofErr w:type="spellStart"/>
      <w:r w:rsidRPr="00736864">
        <w:rPr>
          <w:rFonts w:eastAsiaTheme="minorHAnsi"/>
          <w:lang w:val="en-US" w:eastAsia="en-US"/>
        </w:rPr>
        <w:t>Abbasi</w:t>
      </w:r>
      <w:proofErr w:type="spellEnd"/>
      <w:r>
        <w:rPr>
          <w:rFonts w:eastAsiaTheme="minorHAnsi"/>
          <w:lang w:val="en-US" w:eastAsia="en-US"/>
        </w:rPr>
        <w:t>,</w:t>
      </w:r>
      <w:r w:rsidRPr="00736864">
        <w:rPr>
          <w:rFonts w:eastAsiaTheme="minorHAnsi"/>
          <w:lang w:val="en-US" w:eastAsia="en-US"/>
        </w:rPr>
        <w:t xml:space="preserve"> A</w:t>
      </w:r>
      <w:r>
        <w:rPr>
          <w:rFonts w:eastAsiaTheme="minorHAnsi"/>
          <w:lang w:val="en-US" w:eastAsia="en-US"/>
        </w:rPr>
        <w:t>.</w:t>
      </w:r>
      <w:r w:rsidRPr="00736864">
        <w:rPr>
          <w:rFonts w:eastAsiaTheme="minorHAnsi"/>
          <w:lang w:val="en-US" w:eastAsia="en-US"/>
        </w:rPr>
        <w:t xml:space="preserve">, </w:t>
      </w:r>
      <w:proofErr w:type="spellStart"/>
      <w:r w:rsidRPr="00736864">
        <w:rPr>
          <w:rFonts w:eastAsiaTheme="minorHAnsi"/>
          <w:lang w:val="en-US" w:eastAsia="en-US"/>
        </w:rPr>
        <w:t>Sabsechian</w:t>
      </w:r>
      <w:proofErr w:type="spellEnd"/>
      <w:r>
        <w:rPr>
          <w:rFonts w:eastAsiaTheme="minorHAnsi"/>
          <w:lang w:val="en-US" w:eastAsia="en-US"/>
        </w:rPr>
        <w:t>,</w:t>
      </w:r>
      <w:r w:rsidRPr="00736864">
        <w:rPr>
          <w:rFonts w:eastAsiaTheme="minorHAnsi"/>
          <w:lang w:val="en-US" w:eastAsia="en-US"/>
        </w:rPr>
        <w:t xml:space="preserve"> M</w:t>
      </w:r>
      <w:r>
        <w:rPr>
          <w:rFonts w:eastAsiaTheme="minorHAnsi"/>
          <w:lang w:val="en-US" w:eastAsia="en-US"/>
        </w:rPr>
        <w:t>.</w:t>
      </w:r>
      <w:r w:rsidRPr="00736864">
        <w:rPr>
          <w:rFonts w:eastAsiaTheme="minorHAnsi"/>
          <w:lang w:val="en-US" w:eastAsia="en-US"/>
        </w:rPr>
        <w:t xml:space="preserve">, </w:t>
      </w:r>
      <w:proofErr w:type="spellStart"/>
      <w:r w:rsidRPr="00736864">
        <w:rPr>
          <w:rFonts w:eastAsiaTheme="minorHAnsi"/>
          <w:lang w:val="en-US" w:eastAsia="en-US"/>
        </w:rPr>
        <w:t>Meherkash</w:t>
      </w:r>
      <w:proofErr w:type="spellEnd"/>
      <w:r>
        <w:rPr>
          <w:rFonts w:eastAsiaTheme="minorHAnsi"/>
          <w:lang w:val="en-US" w:eastAsia="en-US"/>
        </w:rPr>
        <w:t>,</w:t>
      </w:r>
      <w:r w:rsidRPr="00736864">
        <w:rPr>
          <w:rFonts w:eastAsiaTheme="minorHAnsi"/>
          <w:lang w:val="en-US" w:eastAsia="en-US"/>
        </w:rPr>
        <w:t xml:space="preserve"> M. </w:t>
      </w:r>
      <w:r w:rsidRPr="001C6189">
        <w:rPr>
          <w:lang w:val="en-US"/>
        </w:rPr>
        <w:t>(201</w:t>
      </w:r>
      <w:r>
        <w:rPr>
          <w:lang w:val="en-US"/>
        </w:rPr>
        <w:t>4</w:t>
      </w:r>
      <w:r w:rsidRPr="001C6189">
        <w:rPr>
          <w:lang w:val="en-US"/>
        </w:rPr>
        <w:t>)</w:t>
      </w:r>
      <w:r>
        <w:rPr>
          <w:lang w:val="en-US"/>
        </w:rPr>
        <w:t>.</w:t>
      </w:r>
      <w:r w:rsidRPr="00736864">
        <w:rPr>
          <w:rFonts w:eastAsiaTheme="minorHAnsi"/>
          <w:lang w:val="en-US" w:eastAsia="en-US"/>
        </w:rPr>
        <w:t>Screening for Microscopic Hematuria in School-age Ch</w:t>
      </w:r>
      <w:r>
        <w:rPr>
          <w:rFonts w:eastAsiaTheme="minorHAnsi"/>
          <w:lang w:val="en-US" w:eastAsia="en-US"/>
        </w:rPr>
        <w:t xml:space="preserve">ildren of the </w:t>
      </w:r>
      <w:proofErr w:type="spellStart"/>
      <w:r>
        <w:rPr>
          <w:rFonts w:eastAsiaTheme="minorHAnsi"/>
          <w:lang w:val="en-US" w:eastAsia="en-US"/>
        </w:rPr>
        <w:t>Gorgan</w:t>
      </w:r>
      <w:proofErr w:type="spellEnd"/>
      <w:r>
        <w:rPr>
          <w:rFonts w:eastAsiaTheme="minorHAnsi"/>
          <w:lang w:val="en-US" w:eastAsia="en-US"/>
        </w:rPr>
        <w:t xml:space="preserve"> City. </w:t>
      </w:r>
      <w:r w:rsidRPr="00B400C0">
        <w:rPr>
          <w:rFonts w:eastAsiaTheme="minorHAnsi"/>
          <w:lang w:eastAsia="en-US"/>
        </w:rPr>
        <w:t xml:space="preserve">IJKD, 8:70-2. Recuperado de </w:t>
      </w:r>
      <w:r w:rsidRPr="00852106">
        <w:rPr>
          <w:rFonts w:eastAsiaTheme="minorHAnsi"/>
          <w:lang w:eastAsia="en-US"/>
        </w:rPr>
        <w:t>www.ijkd.org</w:t>
      </w:r>
    </w:p>
    <w:p w:rsidR="00987F39" w:rsidRPr="00B400C0" w:rsidRDefault="00987F39" w:rsidP="00F71714">
      <w:pPr>
        <w:spacing w:line="360" w:lineRule="auto"/>
        <w:ind w:left="567" w:hanging="567"/>
        <w:jc w:val="both"/>
        <w:rPr>
          <w:rFonts w:eastAsia="Calibri"/>
          <w:lang w:val="en-US"/>
        </w:rPr>
      </w:pPr>
      <w:r w:rsidRPr="00987F39">
        <w:t xml:space="preserve">Pan, C., </w:t>
      </w:r>
      <w:proofErr w:type="spellStart"/>
      <w:r w:rsidRPr="00987F39">
        <w:t>Avner</w:t>
      </w:r>
      <w:proofErr w:type="spellEnd"/>
      <w:r w:rsidRPr="00987F39">
        <w:t xml:space="preserve">, E. </w:t>
      </w:r>
      <w:r w:rsidRPr="00987F39">
        <w:rPr>
          <w:rFonts w:eastAsiaTheme="minorHAnsi"/>
          <w:bCs/>
          <w:color w:val="000000"/>
          <w:lang w:eastAsia="en-US"/>
        </w:rPr>
        <w:t xml:space="preserve">(2016). </w:t>
      </w:r>
      <w:r w:rsidRPr="004E49CD">
        <w:rPr>
          <w:lang w:val="en-US"/>
        </w:rPr>
        <w:t xml:space="preserve">Clinical evaluation of the child with hematuria. In: </w:t>
      </w:r>
      <w:proofErr w:type="spellStart"/>
      <w:r w:rsidRPr="004E49CD">
        <w:rPr>
          <w:lang w:val="en-US"/>
        </w:rPr>
        <w:t>Kliegman</w:t>
      </w:r>
      <w:proofErr w:type="spellEnd"/>
      <w:r w:rsidRPr="004E49CD">
        <w:rPr>
          <w:lang w:val="en-US"/>
        </w:rPr>
        <w:t xml:space="preserve"> RM, Stanton BF, St. </w:t>
      </w:r>
      <w:proofErr w:type="spellStart"/>
      <w:r w:rsidRPr="004E49CD">
        <w:rPr>
          <w:lang w:val="en-US"/>
        </w:rPr>
        <w:t>Geme</w:t>
      </w:r>
      <w:proofErr w:type="spellEnd"/>
      <w:r w:rsidRPr="004E49CD">
        <w:rPr>
          <w:lang w:val="en-US"/>
        </w:rPr>
        <w:t xml:space="preserve"> </w:t>
      </w:r>
      <w:proofErr w:type="spellStart"/>
      <w:r w:rsidRPr="004E49CD">
        <w:rPr>
          <w:lang w:val="en-US"/>
        </w:rPr>
        <w:t>JW</w:t>
      </w:r>
      <w:proofErr w:type="spellEnd"/>
      <w:r w:rsidRPr="004E49CD">
        <w:rPr>
          <w:lang w:val="en-US"/>
        </w:rPr>
        <w:t xml:space="preserve"> III et al (</w:t>
      </w:r>
      <w:proofErr w:type="spellStart"/>
      <w:r w:rsidRPr="004E49CD">
        <w:rPr>
          <w:lang w:val="en-US"/>
        </w:rPr>
        <w:t>eds</w:t>
      </w:r>
      <w:proofErr w:type="spellEnd"/>
      <w:r w:rsidRPr="004E49CD">
        <w:rPr>
          <w:lang w:val="en-US"/>
        </w:rPr>
        <w:t xml:space="preserve">) Nelson textbook of pediatrics. 20th </w:t>
      </w:r>
      <w:proofErr w:type="spellStart"/>
      <w:r w:rsidRPr="004E49CD">
        <w:rPr>
          <w:lang w:val="en-US"/>
        </w:rPr>
        <w:t>Int.ed</w:t>
      </w:r>
      <w:proofErr w:type="spellEnd"/>
      <w:r w:rsidRPr="004E49CD">
        <w:rPr>
          <w:lang w:val="en-US"/>
        </w:rPr>
        <w:t>. Elsevier Saunders, Philadelphia, 2494</w:t>
      </w:r>
      <w:r>
        <w:rPr>
          <w:lang w:val="en-US"/>
        </w:rPr>
        <w:t>.</w:t>
      </w:r>
    </w:p>
    <w:p w:rsidR="00987F39" w:rsidRDefault="00987F39" w:rsidP="00F71714">
      <w:pPr>
        <w:spacing w:line="360" w:lineRule="auto"/>
        <w:ind w:left="567" w:hanging="567"/>
        <w:rPr>
          <w:rStyle w:val="Hipervnculo"/>
          <w:rFonts w:eastAsia="Calibri"/>
        </w:rPr>
      </w:pPr>
      <w:r w:rsidRPr="00852106">
        <w:rPr>
          <w:rFonts w:eastAsia="Calibri"/>
          <w:lang w:val="en-US"/>
        </w:rPr>
        <w:t>Pérez-</w:t>
      </w:r>
      <w:proofErr w:type="spellStart"/>
      <w:r w:rsidRPr="00852106">
        <w:rPr>
          <w:rFonts w:eastAsia="Calibri"/>
          <w:lang w:val="en-US"/>
        </w:rPr>
        <w:t>Basterrechea</w:t>
      </w:r>
      <w:proofErr w:type="spellEnd"/>
      <w:r w:rsidRPr="00852106">
        <w:rPr>
          <w:rFonts w:eastAsia="Calibri"/>
          <w:lang w:val="en-US"/>
        </w:rPr>
        <w:t>, B., Méndez-Sánchez, A., Martí</w:t>
      </w:r>
      <w:r w:rsidR="0089471B" w:rsidRPr="00852106">
        <w:rPr>
          <w:rFonts w:eastAsia="Calibri"/>
          <w:lang w:val="en-US"/>
        </w:rPr>
        <w:t xml:space="preserve">nez </w:t>
      </w:r>
      <w:proofErr w:type="spellStart"/>
      <w:r w:rsidR="0089471B" w:rsidRPr="00852106">
        <w:rPr>
          <w:rFonts w:eastAsia="Calibri"/>
          <w:lang w:val="en-US"/>
        </w:rPr>
        <w:t>Suárez</w:t>
      </w:r>
      <w:proofErr w:type="spellEnd"/>
      <w:r w:rsidR="0089471B" w:rsidRPr="00852106">
        <w:rPr>
          <w:rFonts w:eastAsia="Calibri"/>
          <w:lang w:val="en-US"/>
        </w:rPr>
        <w:t xml:space="preserve"> V y </w:t>
      </w:r>
      <w:proofErr w:type="spellStart"/>
      <w:r w:rsidR="0089471B" w:rsidRPr="00852106">
        <w:rPr>
          <w:rFonts w:eastAsia="Calibri"/>
          <w:lang w:val="en-US"/>
        </w:rPr>
        <w:t>Ordóñez</w:t>
      </w:r>
      <w:proofErr w:type="spellEnd"/>
      <w:r w:rsidR="0089471B" w:rsidRPr="00852106">
        <w:rPr>
          <w:rFonts w:eastAsia="Calibri"/>
          <w:lang w:val="en-US"/>
        </w:rPr>
        <w:t xml:space="preserve"> </w:t>
      </w:r>
      <w:proofErr w:type="spellStart"/>
      <w:r w:rsidR="0089471B" w:rsidRPr="00852106">
        <w:rPr>
          <w:rFonts w:eastAsia="Calibri"/>
          <w:lang w:val="en-US"/>
        </w:rPr>
        <w:t>Álvarez</w:t>
      </w:r>
      <w:proofErr w:type="spellEnd"/>
      <w:r w:rsidR="0089471B" w:rsidRPr="00852106">
        <w:rPr>
          <w:rFonts w:eastAsia="Calibri"/>
          <w:lang w:val="en-US"/>
        </w:rPr>
        <w:t xml:space="preserve"> </w:t>
      </w:r>
      <w:r w:rsidRPr="00852106">
        <w:rPr>
          <w:rFonts w:eastAsia="Calibri"/>
          <w:lang w:val="en-US"/>
        </w:rPr>
        <w:t xml:space="preserve">FA.  </w:t>
      </w:r>
      <w:r>
        <w:t xml:space="preserve">(2016). </w:t>
      </w:r>
      <w:r w:rsidRPr="001C710B">
        <w:rPr>
          <w:rFonts w:eastAsia="Calibri"/>
        </w:rPr>
        <w:t xml:space="preserve">Aproximación al diagnóstico de la hematuria en el niño. Vox </w:t>
      </w:r>
      <w:r>
        <w:rPr>
          <w:rFonts w:eastAsia="Calibri"/>
        </w:rPr>
        <w:t xml:space="preserve">  </w:t>
      </w:r>
      <w:proofErr w:type="spellStart"/>
      <w:r w:rsidRPr="001C710B">
        <w:rPr>
          <w:rFonts w:eastAsia="Calibri"/>
        </w:rPr>
        <w:t>Paediátrica</w:t>
      </w:r>
      <w:proofErr w:type="spellEnd"/>
      <w:r w:rsidRPr="001C710B">
        <w:rPr>
          <w:rFonts w:eastAsia="Calibri"/>
        </w:rPr>
        <w:t xml:space="preserve">   XXIII (II): 39-45. </w:t>
      </w:r>
      <w:r>
        <w:rPr>
          <w:rFonts w:eastAsia="Calibri"/>
        </w:rPr>
        <w:t xml:space="preserve">Recuperado de </w:t>
      </w:r>
      <w:r w:rsidRPr="00852106">
        <w:rPr>
          <w:rFonts w:eastAsia="Calibri"/>
        </w:rPr>
        <w:t>https://spaoyex.es/sites/default/files/vox_paediatrica_2-2016_web.40-46.pdf</w:t>
      </w:r>
    </w:p>
    <w:p w:rsidR="00987F39" w:rsidRDefault="00987F39" w:rsidP="00F71714">
      <w:pPr>
        <w:spacing w:line="360" w:lineRule="auto"/>
        <w:ind w:left="567" w:hanging="567"/>
        <w:jc w:val="both"/>
        <w:rPr>
          <w:rFonts w:eastAsia="Calibri"/>
        </w:rPr>
      </w:pPr>
      <w:proofErr w:type="spellStart"/>
      <w:r w:rsidRPr="005E1E9C">
        <w:rPr>
          <w:rFonts w:eastAsia="Calibri"/>
        </w:rPr>
        <w:t>Pinheiro</w:t>
      </w:r>
      <w:proofErr w:type="spellEnd"/>
      <w:r>
        <w:rPr>
          <w:rFonts w:eastAsia="Calibri"/>
        </w:rPr>
        <w:t>,</w:t>
      </w:r>
      <w:r w:rsidRPr="005E1E9C">
        <w:rPr>
          <w:rFonts w:eastAsia="Calibri"/>
        </w:rPr>
        <w:t xml:space="preserve"> P. </w:t>
      </w:r>
      <w:r>
        <w:t xml:space="preserve">(2019). </w:t>
      </w:r>
      <w:r w:rsidRPr="005E1E9C">
        <w:rPr>
          <w:bCs/>
          <w:kern w:val="36"/>
        </w:rPr>
        <w:t>C</w:t>
      </w:r>
      <w:r>
        <w:rPr>
          <w:bCs/>
          <w:kern w:val="36"/>
        </w:rPr>
        <w:t>ausas de sangre en la orina-</w:t>
      </w:r>
      <w:r w:rsidRPr="005E1E9C">
        <w:rPr>
          <w:bCs/>
          <w:kern w:val="36"/>
        </w:rPr>
        <w:t>hematuria</w:t>
      </w:r>
      <w:r>
        <w:rPr>
          <w:bCs/>
          <w:kern w:val="36"/>
        </w:rPr>
        <w:t xml:space="preserve">. Recuperado de </w:t>
      </w:r>
      <w:r w:rsidRPr="005E1E9C">
        <w:rPr>
          <w:bCs/>
          <w:kern w:val="36"/>
        </w:rPr>
        <w:t xml:space="preserve"> </w:t>
      </w:r>
      <w:r>
        <w:rPr>
          <w:rFonts w:eastAsia="Calibri"/>
        </w:rPr>
        <w:t xml:space="preserve"> </w:t>
      </w:r>
    </w:p>
    <w:p w:rsidR="00987F39" w:rsidRPr="00B400C0" w:rsidRDefault="00987F39" w:rsidP="00F71714">
      <w:pPr>
        <w:spacing w:line="360" w:lineRule="auto"/>
        <w:ind w:left="567" w:hanging="567"/>
        <w:jc w:val="both"/>
        <w:rPr>
          <w:rFonts w:eastAsia="Calibri"/>
        </w:rPr>
      </w:pPr>
      <w:r>
        <w:rPr>
          <w:rFonts w:eastAsia="Calibri"/>
        </w:rPr>
        <w:t xml:space="preserve">           </w:t>
      </w:r>
      <w:r w:rsidRPr="00852106">
        <w:rPr>
          <w:bCs/>
          <w:kern w:val="36"/>
        </w:rPr>
        <w:t>https://www.mdsaude.com/es/2015/12/sangre-en-la-orina-hematuria.html</w:t>
      </w:r>
    </w:p>
    <w:p w:rsidR="00987F39" w:rsidRPr="00B400C0" w:rsidRDefault="00987F39" w:rsidP="00F71714">
      <w:pPr>
        <w:pStyle w:val="NormalWeb"/>
        <w:spacing w:before="0" w:beforeAutospacing="0" w:after="0" w:afterAutospacing="0" w:line="360" w:lineRule="auto"/>
        <w:ind w:left="567" w:hanging="567"/>
        <w:jc w:val="both"/>
        <w:rPr>
          <w:rFonts w:eastAsia="Calibri"/>
          <w:color w:val="0000FF" w:themeColor="hyperlink"/>
          <w:u w:val="single"/>
        </w:rPr>
      </w:pPr>
      <w:r w:rsidRPr="00AA4208">
        <w:rPr>
          <w:rFonts w:eastAsia="Calibri"/>
        </w:rPr>
        <w:t>Preciado</w:t>
      </w:r>
      <w:r>
        <w:rPr>
          <w:rFonts w:eastAsia="Calibri"/>
        </w:rPr>
        <w:t>,</w:t>
      </w:r>
      <w:r w:rsidRPr="00AA4208">
        <w:rPr>
          <w:rFonts w:eastAsia="Calibri"/>
        </w:rPr>
        <w:t xml:space="preserve"> H</w:t>
      </w:r>
      <w:r>
        <w:rPr>
          <w:rFonts w:eastAsia="Calibri"/>
        </w:rPr>
        <w:t>.</w:t>
      </w:r>
      <w:r w:rsidRPr="00AA4208">
        <w:rPr>
          <w:rFonts w:eastAsia="Calibri"/>
        </w:rPr>
        <w:t>, Cáceres</w:t>
      </w:r>
      <w:r>
        <w:rPr>
          <w:rFonts w:eastAsia="Calibri"/>
        </w:rPr>
        <w:t>,</w:t>
      </w:r>
      <w:r w:rsidRPr="00AA4208">
        <w:rPr>
          <w:rFonts w:eastAsia="Calibri"/>
        </w:rPr>
        <w:t xml:space="preserve"> N</w:t>
      </w:r>
      <w:r>
        <w:rPr>
          <w:rFonts w:eastAsia="Calibri"/>
        </w:rPr>
        <w:t>.</w:t>
      </w:r>
      <w:r w:rsidRPr="00AA4208">
        <w:rPr>
          <w:rFonts w:eastAsia="Calibri"/>
        </w:rPr>
        <w:t xml:space="preserve">, Beltrán C y Ortiz H. </w:t>
      </w:r>
      <w:r>
        <w:t>(2015).</w:t>
      </w:r>
      <w:r w:rsidRPr="00AA4208">
        <w:rPr>
          <w:rFonts w:eastAsia="Calibri"/>
        </w:rPr>
        <w:t xml:space="preserve">Enfoque diagnóstico de la hematuria en pediatría. </w:t>
      </w:r>
      <w:proofErr w:type="spellStart"/>
      <w:r w:rsidRPr="00AA4208">
        <w:rPr>
          <w:rFonts w:eastAsia="Calibri"/>
        </w:rPr>
        <w:t>Repert</w:t>
      </w:r>
      <w:proofErr w:type="spellEnd"/>
      <w:r w:rsidRPr="00AA4208">
        <w:rPr>
          <w:rFonts w:eastAsia="Calibri"/>
        </w:rPr>
        <w:t xml:space="preserve">. </w:t>
      </w:r>
      <w:proofErr w:type="spellStart"/>
      <w:r w:rsidRPr="00AA4208">
        <w:rPr>
          <w:rFonts w:eastAsia="Calibri"/>
        </w:rPr>
        <w:t>Med</w:t>
      </w:r>
      <w:proofErr w:type="spellEnd"/>
      <w:r w:rsidRPr="00AA4208">
        <w:rPr>
          <w:rFonts w:eastAsia="Calibri"/>
        </w:rPr>
        <w:t xml:space="preserve">. </w:t>
      </w:r>
      <w:proofErr w:type="spellStart"/>
      <w:r w:rsidRPr="00AA4208">
        <w:rPr>
          <w:rFonts w:eastAsia="Calibri"/>
        </w:rPr>
        <w:t>Cir</w:t>
      </w:r>
      <w:proofErr w:type="spellEnd"/>
      <w:r>
        <w:rPr>
          <w:rFonts w:eastAsia="Calibri"/>
        </w:rPr>
        <w:t>,</w:t>
      </w:r>
      <w:r w:rsidR="00852106">
        <w:rPr>
          <w:rFonts w:eastAsia="Calibri"/>
        </w:rPr>
        <w:t xml:space="preserve"> </w:t>
      </w:r>
      <w:r w:rsidRPr="00AA4208">
        <w:rPr>
          <w:rFonts w:eastAsia="Calibri"/>
        </w:rPr>
        <w:t xml:space="preserve">24(1): 27-34. </w:t>
      </w:r>
      <w:r>
        <w:rPr>
          <w:rFonts w:eastAsia="Calibri"/>
        </w:rPr>
        <w:t>Recuperado de</w:t>
      </w:r>
      <w:r w:rsidRPr="00AA4208">
        <w:rPr>
          <w:rFonts w:eastAsia="Calibri"/>
        </w:rPr>
        <w:t xml:space="preserve"> </w:t>
      </w:r>
      <w:r w:rsidRPr="00852106">
        <w:rPr>
          <w:rFonts w:eastAsia="Calibri"/>
        </w:rPr>
        <w:t>https://www.fucsalud.edu.co/sites/default/files/2017-01/guia%20practica.pdf</w:t>
      </w:r>
    </w:p>
    <w:p w:rsidR="00987F39" w:rsidRPr="00EE71D9" w:rsidRDefault="00987F39" w:rsidP="0089471B">
      <w:pPr>
        <w:spacing w:line="360" w:lineRule="auto"/>
        <w:ind w:left="567" w:hanging="567"/>
        <w:jc w:val="both"/>
        <w:rPr>
          <w:rStyle w:val="Hipervnculo"/>
          <w:rFonts w:eastAsia="Calibri"/>
          <w:color w:val="3333FF"/>
          <w:lang w:val="en-US"/>
        </w:rPr>
      </w:pPr>
      <w:r w:rsidRPr="001C710B">
        <w:rPr>
          <w:rFonts w:eastAsia="Calibri"/>
          <w:noProof/>
          <w:lang w:val="en-US"/>
        </w:rPr>
        <w:t>Schwartz</w:t>
      </w:r>
      <w:r>
        <w:rPr>
          <w:rFonts w:eastAsia="Calibri"/>
          <w:noProof/>
          <w:lang w:val="en-US"/>
        </w:rPr>
        <w:t>,</w:t>
      </w:r>
      <w:r w:rsidRPr="001C710B">
        <w:rPr>
          <w:rFonts w:eastAsia="Calibri"/>
          <w:noProof/>
          <w:lang w:val="en-US"/>
        </w:rPr>
        <w:t xml:space="preserve">  R</w:t>
      </w:r>
      <w:r>
        <w:rPr>
          <w:rFonts w:eastAsia="Calibri"/>
          <w:noProof/>
          <w:lang w:val="en-US"/>
        </w:rPr>
        <w:t>.</w:t>
      </w:r>
      <w:r w:rsidRPr="001C710B">
        <w:rPr>
          <w:rFonts w:eastAsia="Calibri"/>
          <w:noProof/>
          <w:lang w:val="en-US"/>
        </w:rPr>
        <w:t>,  Distal</w:t>
      </w:r>
      <w:r>
        <w:rPr>
          <w:rFonts w:eastAsia="Calibri"/>
          <w:noProof/>
          <w:lang w:val="en-US"/>
        </w:rPr>
        <w:t>,</w:t>
      </w:r>
      <w:r w:rsidRPr="001C710B">
        <w:rPr>
          <w:rFonts w:eastAsia="Calibri"/>
          <w:noProof/>
          <w:lang w:val="en-US"/>
        </w:rPr>
        <w:t xml:space="preserve">  R</w:t>
      </w:r>
      <w:r>
        <w:rPr>
          <w:rFonts w:eastAsia="Calibri"/>
          <w:noProof/>
          <w:lang w:val="en-US"/>
        </w:rPr>
        <w:t>.</w:t>
      </w:r>
      <w:r w:rsidRPr="001C710B">
        <w:rPr>
          <w:rFonts w:eastAsia="Calibri"/>
          <w:noProof/>
          <w:lang w:val="en-US"/>
        </w:rPr>
        <w:t>,  Shapiro</w:t>
      </w:r>
      <w:r>
        <w:rPr>
          <w:rFonts w:eastAsia="Calibri"/>
          <w:noProof/>
          <w:lang w:val="en-US"/>
        </w:rPr>
        <w:t>,</w:t>
      </w:r>
      <w:r w:rsidRPr="001C710B">
        <w:rPr>
          <w:rFonts w:eastAsia="Calibri"/>
          <w:noProof/>
          <w:lang w:val="en-US"/>
        </w:rPr>
        <w:t xml:space="preserve">  A</w:t>
      </w:r>
      <w:r>
        <w:rPr>
          <w:rFonts w:eastAsia="Calibri"/>
          <w:noProof/>
          <w:lang w:val="en-US"/>
        </w:rPr>
        <w:t>.</w:t>
      </w:r>
      <w:r w:rsidRPr="001C710B">
        <w:rPr>
          <w:rFonts w:eastAsia="Calibri"/>
          <w:noProof/>
          <w:lang w:val="en-US"/>
        </w:rPr>
        <w:t xml:space="preserve"> y  Waisman</w:t>
      </w:r>
      <w:r>
        <w:rPr>
          <w:rFonts w:eastAsia="Calibri"/>
          <w:noProof/>
          <w:lang w:val="en-US"/>
        </w:rPr>
        <w:t>,</w:t>
      </w:r>
      <w:r w:rsidRPr="001C710B">
        <w:rPr>
          <w:rFonts w:eastAsia="Calibri"/>
          <w:noProof/>
          <w:lang w:val="en-US"/>
        </w:rPr>
        <w:t xml:space="preserve">  Y. </w:t>
      </w:r>
      <w:r w:rsidRPr="001C710B">
        <w:rPr>
          <w:lang w:val="en-US"/>
        </w:rPr>
        <w:t>(201</w:t>
      </w:r>
      <w:r>
        <w:rPr>
          <w:lang w:val="en-US"/>
        </w:rPr>
        <w:t>7</w:t>
      </w:r>
      <w:r w:rsidRPr="001C710B">
        <w:rPr>
          <w:lang w:val="en-US"/>
        </w:rPr>
        <w:t xml:space="preserve">). </w:t>
      </w:r>
      <w:r w:rsidR="0089471B">
        <w:rPr>
          <w:rFonts w:eastAsia="Calibri"/>
          <w:noProof/>
          <w:lang w:val="en-US"/>
        </w:rPr>
        <w:t>Evidence of a link</w:t>
      </w:r>
      <w:r>
        <w:rPr>
          <w:rFonts w:eastAsia="Calibri"/>
          <w:noProof/>
          <w:lang w:val="en-US"/>
        </w:rPr>
        <w:t xml:space="preserve"> </w:t>
      </w:r>
      <w:r w:rsidRPr="001C710B">
        <w:rPr>
          <w:rFonts w:eastAsia="Calibri"/>
          <w:noProof/>
          <w:lang w:val="en-US"/>
        </w:rPr>
        <w:t xml:space="preserve">between fever </w:t>
      </w:r>
      <w:r>
        <w:rPr>
          <w:rFonts w:eastAsia="Calibri"/>
          <w:noProof/>
          <w:lang w:val="en-US"/>
        </w:rPr>
        <w:t xml:space="preserve"> </w:t>
      </w:r>
      <w:r w:rsidRPr="001C710B">
        <w:rPr>
          <w:rFonts w:eastAsia="Calibri"/>
          <w:noProof/>
          <w:lang w:val="en-US"/>
        </w:rPr>
        <w:t xml:space="preserve">and microscopic hematuria in children. </w:t>
      </w:r>
      <w:r w:rsidR="0089471B">
        <w:rPr>
          <w:rFonts w:eastAsia="Calibri"/>
          <w:noProof/>
        </w:rPr>
        <w:t xml:space="preserve">Eur J Pediatr </w:t>
      </w:r>
      <w:r w:rsidRPr="001C710B">
        <w:rPr>
          <w:rFonts w:eastAsia="Calibri"/>
          <w:noProof/>
        </w:rPr>
        <w:t xml:space="preserve">176(6):787–90. </w:t>
      </w:r>
      <w:r>
        <w:rPr>
          <w:rFonts w:eastAsia="Calibri"/>
          <w:noProof/>
        </w:rPr>
        <w:t xml:space="preserve">Recuperado de </w:t>
      </w:r>
      <w:r w:rsidRPr="00852106">
        <w:rPr>
          <w:rStyle w:val="Hipervnculo"/>
          <w:rFonts w:eastAsia="Calibri"/>
          <w:color w:val="auto"/>
          <w:u w:val="none"/>
        </w:rPr>
        <w:t>http:</w:t>
      </w:r>
      <w:r w:rsidR="0089471B" w:rsidRPr="00852106">
        <w:rPr>
          <w:rStyle w:val="Hipervnculo"/>
          <w:rFonts w:eastAsia="Calibri"/>
          <w:color w:val="auto"/>
          <w:u w:val="none"/>
        </w:rPr>
        <w:t>//web.b.ebscohost.com/ehost/pdf</w:t>
      </w:r>
      <w:r w:rsidRPr="00852106">
        <w:rPr>
          <w:rStyle w:val="Hipervnculo"/>
          <w:rFonts w:eastAsia="Calibri"/>
          <w:color w:val="auto"/>
          <w:u w:val="none"/>
        </w:rPr>
        <w:t>viewer/?</w:t>
      </w:r>
      <w:hyperlink r:id="rId20" w:history="1">
        <w:r w:rsidRPr="00852106">
          <w:rPr>
            <w:rStyle w:val="Hipervnculo"/>
            <w:rFonts w:eastAsia="Calibri"/>
            <w:color w:val="auto"/>
            <w:u w:val="none"/>
            <w:lang w:val="en-US"/>
          </w:rPr>
          <w:t>vid=5&amp;sid=940c5452-9a13-42b6-9c01-18bd1329235d%40pdc-v-sessmgr03</w:t>
        </w:r>
      </w:hyperlink>
    </w:p>
    <w:p w:rsidR="00987F39" w:rsidRPr="00852106" w:rsidRDefault="00987F39" w:rsidP="00F71714">
      <w:pPr>
        <w:spacing w:line="360" w:lineRule="auto"/>
        <w:ind w:left="567" w:hanging="567"/>
        <w:jc w:val="both"/>
        <w:rPr>
          <w:rStyle w:val="Hipervnculo"/>
          <w:rFonts w:eastAsia="Calibri"/>
          <w:color w:val="auto"/>
          <w:u w:val="none"/>
          <w:lang w:val="en-US"/>
        </w:rPr>
      </w:pPr>
      <w:proofErr w:type="spellStart"/>
      <w:r w:rsidRPr="00B400C0">
        <w:rPr>
          <w:rFonts w:eastAsiaTheme="minorHAnsi"/>
          <w:iCs/>
          <w:lang w:val="en-US" w:eastAsia="en-US"/>
        </w:rPr>
        <w:t>Tabada</w:t>
      </w:r>
      <w:proofErr w:type="spellEnd"/>
      <w:r w:rsidRPr="00B400C0">
        <w:rPr>
          <w:rFonts w:eastAsiaTheme="minorHAnsi"/>
          <w:iCs/>
          <w:lang w:val="en-US" w:eastAsia="en-US"/>
        </w:rPr>
        <w:t xml:space="preserve"> T, </w:t>
      </w:r>
      <w:proofErr w:type="spellStart"/>
      <w:r w:rsidRPr="00B400C0">
        <w:rPr>
          <w:rFonts w:eastAsiaTheme="minorHAnsi"/>
          <w:iCs/>
          <w:lang w:val="en-US" w:eastAsia="en-US"/>
        </w:rPr>
        <w:t>OhbuchiT</w:t>
      </w:r>
      <w:proofErr w:type="spellEnd"/>
      <w:r w:rsidRPr="00B400C0">
        <w:rPr>
          <w:rFonts w:eastAsiaTheme="minorHAnsi"/>
          <w:iCs/>
          <w:lang w:val="en-US" w:eastAsia="en-US"/>
        </w:rPr>
        <w:t xml:space="preserve">, Kitamura T, Ohkubo J, </w:t>
      </w:r>
      <w:proofErr w:type="spellStart"/>
      <w:r w:rsidRPr="00B400C0">
        <w:rPr>
          <w:rFonts w:eastAsiaTheme="minorHAnsi"/>
          <w:iCs/>
          <w:lang w:val="en-US" w:eastAsia="en-US"/>
        </w:rPr>
        <w:t>Hashida</w:t>
      </w:r>
      <w:proofErr w:type="spellEnd"/>
      <w:r w:rsidRPr="00B400C0">
        <w:rPr>
          <w:rFonts w:eastAsiaTheme="minorHAnsi"/>
          <w:iCs/>
          <w:lang w:val="en-US" w:eastAsia="en-US"/>
        </w:rPr>
        <w:t xml:space="preserve"> K, </w:t>
      </w:r>
      <w:proofErr w:type="spellStart"/>
      <w:r w:rsidRPr="00B400C0">
        <w:rPr>
          <w:rFonts w:eastAsiaTheme="minorHAnsi"/>
          <w:iCs/>
          <w:lang w:val="en-US" w:eastAsia="en-US"/>
        </w:rPr>
        <w:t>HohchiN</w:t>
      </w:r>
      <w:proofErr w:type="spellEnd"/>
      <w:r w:rsidRPr="00B400C0">
        <w:rPr>
          <w:rFonts w:eastAsiaTheme="minorHAnsi"/>
          <w:iCs/>
          <w:lang w:val="en-US" w:eastAsia="en-US"/>
        </w:rPr>
        <w:t xml:space="preserve">, et al. </w:t>
      </w:r>
      <w:r w:rsidRPr="004E49CD">
        <w:rPr>
          <w:rFonts w:eastAsiaTheme="minorHAnsi"/>
          <w:iCs/>
          <w:lang w:val="en-US" w:eastAsia="en-US"/>
        </w:rPr>
        <w:t xml:space="preserve">Prognostic factors of IgA nephropathy after tonsillectomy. Nihon </w:t>
      </w:r>
      <w:proofErr w:type="spellStart"/>
      <w:r w:rsidRPr="004E49CD">
        <w:rPr>
          <w:rFonts w:eastAsiaTheme="minorHAnsi"/>
          <w:iCs/>
          <w:lang w:val="en-US" w:eastAsia="en-US"/>
        </w:rPr>
        <w:t>Jibiinkoka</w:t>
      </w:r>
      <w:proofErr w:type="spellEnd"/>
      <w:r w:rsidRPr="004E49CD">
        <w:rPr>
          <w:rFonts w:eastAsiaTheme="minorHAnsi"/>
          <w:iCs/>
          <w:lang w:val="en-US" w:eastAsia="en-US"/>
        </w:rPr>
        <w:t xml:space="preserve"> </w:t>
      </w:r>
      <w:proofErr w:type="spellStart"/>
      <w:r w:rsidRPr="004E49CD">
        <w:rPr>
          <w:rFonts w:eastAsiaTheme="minorHAnsi"/>
          <w:iCs/>
          <w:lang w:val="en-US" w:eastAsia="en-US"/>
        </w:rPr>
        <w:t>Gakkas</w:t>
      </w:r>
      <w:proofErr w:type="spellEnd"/>
      <w:r w:rsidRPr="004E49CD">
        <w:rPr>
          <w:rFonts w:eastAsiaTheme="minorHAnsi"/>
          <w:iCs/>
          <w:lang w:val="en-US" w:eastAsia="en-US"/>
        </w:rPr>
        <w:t xml:space="preserve"> </w:t>
      </w:r>
      <w:proofErr w:type="spellStart"/>
      <w:r w:rsidRPr="004E49CD">
        <w:rPr>
          <w:rFonts w:eastAsiaTheme="minorHAnsi"/>
          <w:iCs/>
          <w:lang w:val="en-US" w:eastAsia="en-US"/>
        </w:rPr>
        <w:t>Kaiho</w:t>
      </w:r>
      <w:proofErr w:type="spellEnd"/>
      <w:r w:rsidRPr="004E49CD">
        <w:rPr>
          <w:rFonts w:eastAsiaTheme="minorHAnsi"/>
          <w:iCs/>
          <w:lang w:val="en-US" w:eastAsia="en-US"/>
        </w:rPr>
        <w:t xml:space="preserve">. </w:t>
      </w:r>
      <w:r w:rsidRPr="00852106">
        <w:rPr>
          <w:rFonts w:eastAsiaTheme="minorHAnsi"/>
          <w:iCs/>
          <w:lang w:val="en-US" w:eastAsia="en-US"/>
        </w:rPr>
        <w:t>2017</w:t>
      </w:r>
      <w:proofErr w:type="gramStart"/>
      <w:r w:rsidRPr="00852106">
        <w:rPr>
          <w:rFonts w:eastAsiaTheme="minorHAnsi"/>
          <w:iCs/>
          <w:lang w:val="en-US" w:eastAsia="en-US"/>
        </w:rPr>
        <w:t>;115:836</w:t>
      </w:r>
      <w:proofErr w:type="gramEnd"/>
      <w:r w:rsidRPr="00852106">
        <w:rPr>
          <w:rFonts w:eastAsiaTheme="minorHAnsi"/>
          <w:iCs/>
          <w:lang w:val="en-US" w:eastAsia="en-US"/>
        </w:rPr>
        <w:t>-41.</w:t>
      </w:r>
    </w:p>
    <w:p w:rsidR="00987F39" w:rsidRDefault="00987F39" w:rsidP="00F71714">
      <w:pPr>
        <w:spacing w:line="360" w:lineRule="auto"/>
        <w:ind w:left="567" w:hanging="567"/>
        <w:jc w:val="both"/>
        <w:rPr>
          <w:rFonts w:eastAsia="Calibri"/>
        </w:rPr>
      </w:pPr>
      <w:proofErr w:type="spellStart"/>
      <w:r>
        <w:rPr>
          <w:rFonts w:eastAsia="Calibri"/>
        </w:rPr>
        <w:t>Tauler</w:t>
      </w:r>
      <w:proofErr w:type="spellEnd"/>
      <w:r>
        <w:rPr>
          <w:rFonts w:eastAsia="Calibri"/>
        </w:rPr>
        <w:t>-</w:t>
      </w:r>
      <w:r w:rsidRPr="005E1E9C">
        <w:rPr>
          <w:rFonts w:eastAsia="Calibri"/>
        </w:rPr>
        <w:t>Girona</w:t>
      </w:r>
      <w:r>
        <w:rPr>
          <w:rFonts w:eastAsia="Calibri"/>
        </w:rPr>
        <w:t>,</w:t>
      </w:r>
      <w:r w:rsidRPr="005E1E9C">
        <w:rPr>
          <w:rFonts w:eastAsia="Calibri"/>
        </w:rPr>
        <w:t xml:space="preserve"> M</w:t>
      </w:r>
      <w:r>
        <w:rPr>
          <w:rFonts w:eastAsia="Calibri"/>
        </w:rPr>
        <w:t xml:space="preserve">. </w:t>
      </w:r>
      <w:r w:rsidRPr="005E1E9C">
        <w:rPr>
          <w:rFonts w:eastAsia="Calibri"/>
        </w:rPr>
        <w:t xml:space="preserve">C. Hematuria, proteinuria: actitud diagnóstica. </w:t>
      </w:r>
      <w:r>
        <w:t xml:space="preserve">(2013). Rev. </w:t>
      </w:r>
      <w:proofErr w:type="spellStart"/>
      <w:r w:rsidRPr="005E1E9C">
        <w:rPr>
          <w:rFonts w:eastAsia="Calibri"/>
        </w:rPr>
        <w:t>Pediatr</w:t>
      </w:r>
      <w:proofErr w:type="spellEnd"/>
      <w:r w:rsidRPr="005E1E9C">
        <w:rPr>
          <w:rFonts w:eastAsia="Calibri"/>
        </w:rPr>
        <w:t xml:space="preserve"> </w:t>
      </w:r>
      <w:r>
        <w:rPr>
          <w:rFonts w:eastAsia="Calibri"/>
        </w:rPr>
        <w:t xml:space="preserve"> </w:t>
      </w:r>
    </w:p>
    <w:p w:rsidR="00987F39" w:rsidRDefault="00987F39" w:rsidP="00F71714">
      <w:pPr>
        <w:spacing w:line="360" w:lineRule="auto"/>
        <w:ind w:left="567" w:hanging="567"/>
        <w:jc w:val="both"/>
        <w:rPr>
          <w:rFonts w:eastAsia="Calibri"/>
        </w:rPr>
      </w:pPr>
      <w:r>
        <w:rPr>
          <w:rFonts w:eastAsia="Calibri"/>
        </w:rPr>
        <w:t xml:space="preserve"> Integral </w:t>
      </w:r>
      <w:proofErr w:type="gramStart"/>
      <w:r w:rsidRPr="005E1E9C">
        <w:rPr>
          <w:rFonts w:eastAsia="Calibri"/>
        </w:rPr>
        <w:t>XVII(</w:t>
      </w:r>
      <w:proofErr w:type="gramEnd"/>
      <w:r w:rsidRPr="005E1E9C">
        <w:rPr>
          <w:rFonts w:eastAsia="Calibri"/>
        </w:rPr>
        <w:t xml:space="preserve">6): 412-21. </w:t>
      </w:r>
      <w:r>
        <w:rPr>
          <w:rFonts w:eastAsia="Calibri"/>
        </w:rPr>
        <w:t>Recuperado de</w:t>
      </w:r>
      <w:r w:rsidR="0089471B">
        <w:rPr>
          <w:rFonts w:eastAsia="Calibri"/>
        </w:rPr>
        <w:t>:</w:t>
      </w:r>
      <w:r w:rsidRPr="005E1E9C">
        <w:rPr>
          <w:rFonts w:eastAsia="Calibri"/>
        </w:rPr>
        <w:t xml:space="preserve"> </w:t>
      </w:r>
      <w:r w:rsidRPr="00852106">
        <w:rPr>
          <w:rFonts w:eastAsia="Calibri"/>
        </w:rPr>
        <w:t>https://www.pediatriaintegral.es/wp-content/uploads/2013/xvii06/03/412-421%20Hematuria.pdf</w:t>
      </w:r>
    </w:p>
    <w:p w:rsidR="00987F39" w:rsidRPr="00B400C0" w:rsidRDefault="00987F39" w:rsidP="00F71714">
      <w:pPr>
        <w:spacing w:line="360" w:lineRule="auto"/>
        <w:ind w:left="567" w:hanging="567"/>
        <w:jc w:val="both"/>
        <w:rPr>
          <w:rFonts w:eastAsia="Calibri"/>
          <w:lang w:val="en-US"/>
        </w:rPr>
      </w:pPr>
      <w:proofErr w:type="spellStart"/>
      <w:r w:rsidRPr="00B400C0">
        <w:rPr>
          <w:rFonts w:eastAsiaTheme="minorHAnsi"/>
          <w:bCs/>
          <w:color w:val="000000"/>
          <w:lang w:val="en-US" w:eastAsia="en-US"/>
        </w:rPr>
        <w:t>Viteri</w:t>
      </w:r>
      <w:proofErr w:type="spellEnd"/>
      <w:r w:rsidRPr="00B400C0">
        <w:rPr>
          <w:rFonts w:eastAsiaTheme="minorHAnsi"/>
          <w:bCs/>
          <w:color w:val="000000"/>
          <w:lang w:val="en-US" w:eastAsia="en-US"/>
        </w:rPr>
        <w:t>, B., Reid-</w:t>
      </w:r>
      <w:r w:rsidRPr="00B400C0">
        <w:rPr>
          <w:bCs/>
          <w:color w:val="212121"/>
          <w:lang w:val="en-US"/>
        </w:rPr>
        <w:t xml:space="preserve">Adam, J. </w:t>
      </w:r>
      <w:r w:rsidRPr="00B400C0">
        <w:rPr>
          <w:color w:val="212121"/>
          <w:lang w:val="en-US"/>
        </w:rPr>
        <w:t>(2018).</w:t>
      </w:r>
      <w:r w:rsidRPr="00B400C0">
        <w:rPr>
          <w:lang w:val="en-US"/>
        </w:rPr>
        <w:t xml:space="preserve"> </w:t>
      </w:r>
      <w:r w:rsidRPr="00B400C0">
        <w:rPr>
          <w:color w:val="212121"/>
          <w:lang w:val="en-US"/>
        </w:rPr>
        <w:t xml:space="preserve">Hematuria and Proteinuria in Children. </w:t>
      </w:r>
      <w:proofErr w:type="spellStart"/>
      <w:r w:rsidRPr="00B400C0">
        <w:rPr>
          <w:bCs/>
          <w:lang w:val="en-US"/>
        </w:rPr>
        <w:t>Pediatr</w:t>
      </w:r>
      <w:proofErr w:type="spellEnd"/>
      <w:r w:rsidRPr="00B400C0">
        <w:rPr>
          <w:bCs/>
          <w:lang w:val="en-US"/>
        </w:rPr>
        <w:t xml:space="preserve"> Rev.</w:t>
      </w:r>
      <w:r w:rsidRPr="001A6EF6">
        <w:rPr>
          <w:lang w:val="en-US"/>
        </w:rPr>
        <w:t xml:space="preserve"> </w:t>
      </w:r>
      <w:r>
        <w:rPr>
          <w:lang w:val="en-US"/>
        </w:rPr>
        <w:t xml:space="preserve"> </w:t>
      </w:r>
      <w:proofErr w:type="gramStart"/>
      <w:r w:rsidRPr="001A6EF6">
        <w:rPr>
          <w:lang w:val="en-US"/>
        </w:rPr>
        <w:t>December ;</w:t>
      </w:r>
      <w:proofErr w:type="gramEnd"/>
      <w:r w:rsidRPr="001A6EF6">
        <w:rPr>
          <w:lang w:val="en-US"/>
        </w:rPr>
        <w:t xml:space="preserve"> 39(12): 573–587. </w:t>
      </w:r>
      <w:proofErr w:type="spellStart"/>
      <w:r w:rsidRPr="00F10E84">
        <w:rPr>
          <w:lang w:val="en-US"/>
        </w:rPr>
        <w:t>doi</w:t>
      </w:r>
      <w:proofErr w:type="spellEnd"/>
      <w:r w:rsidRPr="00F10E84">
        <w:rPr>
          <w:lang w:val="en-US"/>
        </w:rPr>
        <w:t>: 10.1542/pir.2017-0300</w:t>
      </w:r>
    </w:p>
    <w:p w:rsidR="00987F39" w:rsidRDefault="00987F39" w:rsidP="00F71714">
      <w:pPr>
        <w:spacing w:line="360" w:lineRule="auto"/>
        <w:ind w:left="567" w:hanging="567"/>
        <w:jc w:val="both"/>
        <w:rPr>
          <w:rFonts w:eastAsiaTheme="minorHAnsi"/>
          <w:lang w:val="en-US" w:eastAsia="en-US"/>
        </w:rPr>
      </w:pPr>
      <w:r w:rsidRPr="004E49CD">
        <w:rPr>
          <w:rFonts w:eastAsiaTheme="minorHAnsi"/>
          <w:lang w:val="en-US" w:eastAsia="en-US"/>
        </w:rPr>
        <w:t xml:space="preserve">Yamagata K, Iseki K, Nitta K, Imai H, Iino Y, Matsuo S, et al. </w:t>
      </w:r>
      <w:r w:rsidRPr="00B400C0">
        <w:rPr>
          <w:color w:val="212121"/>
          <w:lang w:val="en-US"/>
        </w:rPr>
        <w:t>(20</w:t>
      </w:r>
      <w:r>
        <w:rPr>
          <w:color w:val="212121"/>
          <w:lang w:val="en-US"/>
        </w:rPr>
        <w:t>0</w:t>
      </w:r>
      <w:r w:rsidRPr="00B400C0">
        <w:rPr>
          <w:color w:val="212121"/>
          <w:lang w:val="en-US"/>
        </w:rPr>
        <w:t>8).</w:t>
      </w:r>
      <w:r w:rsidRPr="00B400C0">
        <w:rPr>
          <w:lang w:val="en-US"/>
        </w:rPr>
        <w:t xml:space="preserve"> </w:t>
      </w:r>
      <w:r w:rsidRPr="004E49CD">
        <w:rPr>
          <w:rFonts w:eastAsiaTheme="minorHAnsi"/>
          <w:lang w:val="en-US" w:eastAsia="en-US"/>
        </w:rPr>
        <w:t xml:space="preserve">Chronic kidney disease perspectives in Japan and the importance of urinalysis screening. </w:t>
      </w:r>
      <w:proofErr w:type="spellStart"/>
      <w:r w:rsidRPr="004E49CD">
        <w:rPr>
          <w:rFonts w:eastAsiaTheme="minorHAnsi"/>
          <w:iCs/>
          <w:lang w:val="en-US" w:eastAsia="en-US"/>
        </w:rPr>
        <w:t>Clin</w:t>
      </w:r>
      <w:proofErr w:type="spellEnd"/>
      <w:r w:rsidRPr="004E49CD">
        <w:rPr>
          <w:rFonts w:eastAsiaTheme="minorHAnsi"/>
          <w:iCs/>
          <w:lang w:val="en-US" w:eastAsia="en-US"/>
        </w:rPr>
        <w:t xml:space="preserve"> </w:t>
      </w:r>
      <w:proofErr w:type="spellStart"/>
      <w:r w:rsidRPr="004E49CD">
        <w:rPr>
          <w:rFonts w:eastAsiaTheme="minorHAnsi"/>
          <w:iCs/>
          <w:lang w:val="en-US" w:eastAsia="en-US"/>
        </w:rPr>
        <w:t>Exp</w:t>
      </w:r>
      <w:proofErr w:type="spellEnd"/>
      <w:r w:rsidRPr="004E49CD">
        <w:rPr>
          <w:rFonts w:eastAsiaTheme="minorHAnsi"/>
          <w:iCs/>
          <w:lang w:val="en-US" w:eastAsia="en-US"/>
        </w:rPr>
        <w:t xml:space="preserve"> </w:t>
      </w:r>
      <w:proofErr w:type="spellStart"/>
      <w:r w:rsidRPr="004E49CD">
        <w:rPr>
          <w:rFonts w:eastAsiaTheme="minorHAnsi"/>
          <w:iCs/>
          <w:lang w:val="en-US" w:eastAsia="en-US"/>
        </w:rPr>
        <w:t>Nephrol</w:t>
      </w:r>
      <w:proofErr w:type="spellEnd"/>
      <w:r>
        <w:rPr>
          <w:rFonts w:eastAsiaTheme="minorHAnsi"/>
          <w:iCs/>
          <w:lang w:val="en-US" w:eastAsia="en-US"/>
        </w:rPr>
        <w:t>,</w:t>
      </w:r>
      <w:r w:rsidRPr="004E49CD">
        <w:rPr>
          <w:rFonts w:eastAsiaTheme="minorHAnsi"/>
          <w:iCs/>
          <w:lang w:val="en-US" w:eastAsia="en-US"/>
        </w:rPr>
        <w:t xml:space="preserve"> </w:t>
      </w:r>
      <w:r w:rsidRPr="004E49CD">
        <w:rPr>
          <w:rFonts w:eastAsiaTheme="minorHAnsi"/>
          <w:lang w:val="en-US" w:eastAsia="en-US"/>
        </w:rPr>
        <w:t>12: 1-8.</w:t>
      </w:r>
    </w:p>
    <w:p w:rsidR="00C16FC6" w:rsidRDefault="00C16FC6" w:rsidP="00F71714">
      <w:pPr>
        <w:spacing w:line="360" w:lineRule="auto"/>
        <w:ind w:left="567" w:hanging="567"/>
        <w:jc w:val="both"/>
        <w:rPr>
          <w:rFonts w:eastAsia="Calibri"/>
          <w:lang w:val="en-US"/>
        </w:rPr>
      </w:pPr>
    </w:p>
    <w:p w:rsidR="0062690C" w:rsidRPr="001D43EB" w:rsidRDefault="0062690C" w:rsidP="00D82C9B">
      <w:pPr>
        <w:pStyle w:val="NormalWeb"/>
        <w:spacing w:before="240" w:beforeAutospacing="0" w:after="240" w:afterAutospacing="0" w:line="360" w:lineRule="auto"/>
        <w:jc w:val="both"/>
        <w:rPr>
          <w:lang w:val="en-US"/>
        </w:rPr>
      </w:pPr>
    </w:p>
    <w:sectPr w:rsidR="0062690C" w:rsidRPr="001D43EB" w:rsidSect="00D82C9B">
      <w:headerReference w:type="default" r:id="rId21"/>
      <w:footerReference w:type="default" r:id="rId22"/>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EF6" w:rsidRDefault="001A6EF6" w:rsidP="00B24696">
      <w:r>
        <w:separator/>
      </w:r>
    </w:p>
  </w:endnote>
  <w:endnote w:type="continuationSeparator" w:id="0">
    <w:p w:rsidR="001A6EF6" w:rsidRDefault="001A6EF6" w:rsidP="00B2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C9B" w:rsidRPr="00D82C9B" w:rsidRDefault="00D82C9B" w:rsidP="00D82C9B">
    <w:pPr>
      <w:pStyle w:val="Piedepgina"/>
      <w:jc w:val="right"/>
    </w:pPr>
    <w:r>
      <w:rPr>
        <w:i/>
        <w:iCs/>
      </w:rPr>
      <w:t>https://</w:t>
    </w:r>
    <w:r>
      <w:rPr>
        <w:i/>
        <w:iCs/>
        <w:lang w:eastAsia="zh-CN"/>
      </w:rPr>
      <w:t>revistas.itsup.edu.ec</w:t>
    </w:r>
    <w:r>
      <w:rPr>
        <w:i/>
        <w:iCs/>
      </w:rPr>
      <w:t>/sinapsis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EF6" w:rsidRDefault="001A6EF6" w:rsidP="00B24696">
      <w:r>
        <w:separator/>
      </w:r>
    </w:p>
  </w:footnote>
  <w:footnote w:type="continuationSeparator" w:id="0">
    <w:p w:rsidR="001A6EF6" w:rsidRDefault="001A6EF6" w:rsidP="00B2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C9B" w:rsidRPr="00D82C9B" w:rsidRDefault="00D82C9B" w:rsidP="00D82C9B">
    <w:pPr>
      <w:pStyle w:val="Encabezado"/>
      <w:spacing w:after="200"/>
      <w:jc w:val="right"/>
      <w:rPr>
        <w:i/>
        <w:iCs/>
      </w:rPr>
    </w:pPr>
    <w:r>
      <w:rPr>
        <w:i/>
        <w:iCs/>
      </w:rPr>
      <w:t xml:space="preserve">Revista Sinapsis. </w:t>
    </w:r>
    <w:proofErr w:type="spellStart"/>
    <w:r>
      <w:rPr>
        <w:i/>
        <w:iCs/>
      </w:rPr>
      <w:t>Vol</w:t>
    </w:r>
    <w:proofErr w:type="spellEnd"/>
    <w:r>
      <w:rPr>
        <w:i/>
        <w:iCs/>
      </w:rPr>
      <w:t xml:space="preserve"> 1, </w:t>
    </w:r>
    <w:proofErr w:type="spellStart"/>
    <w:r>
      <w:rPr>
        <w:i/>
        <w:iCs/>
      </w:rPr>
      <w:t>Nro</w:t>
    </w:r>
    <w:proofErr w:type="spellEnd"/>
    <w:r>
      <w:rPr>
        <w:i/>
        <w:iCs/>
      </w:rPr>
      <w:t xml:space="preserve"> 19, junio de 2021  | ISSN 1390 – 9770</w:t>
    </w:r>
  </w:p>
  <w:p w:rsidR="00D82C9B" w:rsidRDefault="00D82C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3D6A"/>
    <w:multiLevelType w:val="hybridMultilevel"/>
    <w:tmpl w:val="8198482C"/>
    <w:lvl w:ilvl="0" w:tplc="DDA6C2D8">
      <w:start w:val="9"/>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EB55A85"/>
    <w:multiLevelType w:val="hybridMultilevel"/>
    <w:tmpl w:val="CE7054DA"/>
    <w:lvl w:ilvl="0" w:tplc="1D04A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CA0054C"/>
    <w:multiLevelType w:val="hybridMultilevel"/>
    <w:tmpl w:val="79DA027E"/>
    <w:lvl w:ilvl="0" w:tplc="DF58F026">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0C61C71"/>
    <w:multiLevelType w:val="hybridMultilevel"/>
    <w:tmpl w:val="ACD271F8"/>
    <w:lvl w:ilvl="0" w:tplc="98CE9E76">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8E"/>
    <w:rsid w:val="0000391B"/>
    <w:rsid w:val="00020E45"/>
    <w:rsid w:val="00024FC5"/>
    <w:rsid w:val="000250B5"/>
    <w:rsid w:val="00041EAE"/>
    <w:rsid w:val="00052DB5"/>
    <w:rsid w:val="0005394B"/>
    <w:rsid w:val="00055F51"/>
    <w:rsid w:val="000735D2"/>
    <w:rsid w:val="000865A5"/>
    <w:rsid w:val="000933F1"/>
    <w:rsid w:val="0009436C"/>
    <w:rsid w:val="000955D2"/>
    <w:rsid w:val="000A0164"/>
    <w:rsid w:val="000A6C69"/>
    <w:rsid w:val="000B5F3A"/>
    <w:rsid w:val="000C126E"/>
    <w:rsid w:val="000C5C7F"/>
    <w:rsid w:val="000E6720"/>
    <w:rsid w:val="000F14BA"/>
    <w:rsid w:val="000F426C"/>
    <w:rsid w:val="0011066A"/>
    <w:rsid w:val="00120DEE"/>
    <w:rsid w:val="00123E44"/>
    <w:rsid w:val="00133082"/>
    <w:rsid w:val="0013785A"/>
    <w:rsid w:val="00145CEB"/>
    <w:rsid w:val="00153A60"/>
    <w:rsid w:val="00154C8C"/>
    <w:rsid w:val="001579EF"/>
    <w:rsid w:val="00167FDA"/>
    <w:rsid w:val="00176631"/>
    <w:rsid w:val="0017670A"/>
    <w:rsid w:val="001A6EF6"/>
    <w:rsid w:val="001B06BE"/>
    <w:rsid w:val="001B5027"/>
    <w:rsid w:val="001C5E43"/>
    <w:rsid w:val="001C6189"/>
    <w:rsid w:val="001C710B"/>
    <w:rsid w:val="001D09AE"/>
    <w:rsid w:val="001D0B4D"/>
    <w:rsid w:val="001D43EB"/>
    <w:rsid w:val="0020115C"/>
    <w:rsid w:val="00222A17"/>
    <w:rsid w:val="00227118"/>
    <w:rsid w:val="00232EBA"/>
    <w:rsid w:val="00242841"/>
    <w:rsid w:val="00243E08"/>
    <w:rsid w:val="00243EEC"/>
    <w:rsid w:val="0026050E"/>
    <w:rsid w:val="00267357"/>
    <w:rsid w:val="002738BF"/>
    <w:rsid w:val="00284E2C"/>
    <w:rsid w:val="00290254"/>
    <w:rsid w:val="002A5643"/>
    <w:rsid w:val="002B1D62"/>
    <w:rsid w:val="002B31B7"/>
    <w:rsid w:val="002B36FB"/>
    <w:rsid w:val="002B3D4D"/>
    <w:rsid w:val="002C464A"/>
    <w:rsid w:val="002D71D7"/>
    <w:rsid w:val="002E485B"/>
    <w:rsid w:val="002E733B"/>
    <w:rsid w:val="003012DF"/>
    <w:rsid w:val="003031B2"/>
    <w:rsid w:val="0031364F"/>
    <w:rsid w:val="0031699A"/>
    <w:rsid w:val="00346507"/>
    <w:rsid w:val="00353A81"/>
    <w:rsid w:val="003575E8"/>
    <w:rsid w:val="0037238E"/>
    <w:rsid w:val="003918F8"/>
    <w:rsid w:val="00394025"/>
    <w:rsid w:val="003A2A59"/>
    <w:rsid w:val="003A30CF"/>
    <w:rsid w:val="003A3664"/>
    <w:rsid w:val="003A624E"/>
    <w:rsid w:val="003B4618"/>
    <w:rsid w:val="003C2AEB"/>
    <w:rsid w:val="003D5B5D"/>
    <w:rsid w:val="00410612"/>
    <w:rsid w:val="00414239"/>
    <w:rsid w:val="00450001"/>
    <w:rsid w:val="00457600"/>
    <w:rsid w:val="0046756A"/>
    <w:rsid w:val="004748E2"/>
    <w:rsid w:val="00486D1D"/>
    <w:rsid w:val="0049729F"/>
    <w:rsid w:val="004A0633"/>
    <w:rsid w:val="004A6140"/>
    <w:rsid w:val="004A69D3"/>
    <w:rsid w:val="004B0EA5"/>
    <w:rsid w:val="004C661F"/>
    <w:rsid w:val="004E3097"/>
    <w:rsid w:val="004E49CD"/>
    <w:rsid w:val="004E5C62"/>
    <w:rsid w:val="004F04B8"/>
    <w:rsid w:val="004F5BD5"/>
    <w:rsid w:val="0051293E"/>
    <w:rsid w:val="00526B98"/>
    <w:rsid w:val="00534DFA"/>
    <w:rsid w:val="00534E5A"/>
    <w:rsid w:val="005417F9"/>
    <w:rsid w:val="00542C1B"/>
    <w:rsid w:val="005550B3"/>
    <w:rsid w:val="00564711"/>
    <w:rsid w:val="0056628E"/>
    <w:rsid w:val="00576AE6"/>
    <w:rsid w:val="00577629"/>
    <w:rsid w:val="005814FF"/>
    <w:rsid w:val="00586699"/>
    <w:rsid w:val="00590D28"/>
    <w:rsid w:val="00594B7F"/>
    <w:rsid w:val="005950C8"/>
    <w:rsid w:val="005E1E9C"/>
    <w:rsid w:val="005F1F68"/>
    <w:rsid w:val="0061014F"/>
    <w:rsid w:val="0062690C"/>
    <w:rsid w:val="006643A1"/>
    <w:rsid w:val="00667709"/>
    <w:rsid w:val="00677B47"/>
    <w:rsid w:val="0068519C"/>
    <w:rsid w:val="0068786D"/>
    <w:rsid w:val="0069280B"/>
    <w:rsid w:val="00697EAE"/>
    <w:rsid w:val="006C2B6E"/>
    <w:rsid w:val="006C3488"/>
    <w:rsid w:val="006C39F2"/>
    <w:rsid w:val="006D14A5"/>
    <w:rsid w:val="006D3651"/>
    <w:rsid w:val="006D6352"/>
    <w:rsid w:val="006E3371"/>
    <w:rsid w:val="006E6C92"/>
    <w:rsid w:val="006F2F80"/>
    <w:rsid w:val="006F492F"/>
    <w:rsid w:val="0070784E"/>
    <w:rsid w:val="00724186"/>
    <w:rsid w:val="00730A52"/>
    <w:rsid w:val="007334B7"/>
    <w:rsid w:val="00736864"/>
    <w:rsid w:val="00761785"/>
    <w:rsid w:val="007658F0"/>
    <w:rsid w:val="00772FCE"/>
    <w:rsid w:val="00795EBC"/>
    <w:rsid w:val="0079604B"/>
    <w:rsid w:val="007A0543"/>
    <w:rsid w:val="007B643A"/>
    <w:rsid w:val="007B69E0"/>
    <w:rsid w:val="007C210D"/>
    <w:rsid w:val="007C3CB9"/>
    <w:rsid w:val="007D0052"/>
    <w:rsid w:val="007D136C"/>
    <w:rsid w:val="007D47CE"/>
    <w:rsid w:val="007D5AC7"/>
    <w:rsid w:val="007E4164"/>
    <w:rsid w:val="007F4A6A"/>
    <w:rsid w:val="00802F2F"/>
    <w:rsid w:val="00815DB2"/>
    <w:rsid w:val="00836182"/>
    <w:rsid w:val="00852106"/>
    <w:rsid w:val="00852D83"/>
    <w:rsid w:val="00856C3F"/>
    <w:rsid w:val="008657DB"/>
    <w:rsid w:val="00876426"/>
    <w:rsid w:val="008839B5"/>
    <w:rsid w:val="0089471B"/>
    <w:rsid w:val="008B17CF"/>
    <w:rsid w:val="008C6B7E"/>
    <w:rsid w:val="008E748E"/>
    <w:rsid w:val="008E7D18"/>
    <w:rsid w:val="008F6D90"/>
    <w:rsid w:val="009144BC"/>
    <w:rsid w:val="0091576B"/>
    <w:rsid w:val="00917EF7"/>
    <w:rsid w:val="009338E6"/>
    <w:rsid w:val="00954601"/>
    <w:rsid w:val="0098093D"/>
    <w:rsid w:val="00987F39"/>
    <w:rsid w:val="009C3A8E"/>
    <w:rsid w:val="009C44A3"/>
    <w:rsid w:val="009C55A7"/>
    <w:rsid w:val="009C61A1"/>
    <w:rsid w:val="009D3224"/>
    <w:rsid w:val="00A05C97"/>
    <w:rsid w:val="00A06F28"/>
    <w:rsid w:val="00A20BE7"/>
    <w:rsid w:val="00A31A83"/>
    <w:rsid w:val="00A32FB0"/>
    <w:rsid w:val="00A3332B"/>
    <w:rsid w:val="00A347EC"/>
    <w:rsid w:val="00A4554F"/>
    <w:rsid w:val="00A52FEC"/>
    <w:rsid w:val="00A65E93"/>
    <w:rsid w:val="00A84186"/>
    <w:rsid w:val="00A85FD2"/>
    <w:rsid w:val="00A916FD"/>
    <w:rsid w:val="00AA007A"/>
    <w:rsid w:val="00AA2F41"/>
    <w:rsid w:val="00AA4208"/>
    <w:rsid w:val="00AA5880"/>
    <w:rsid w:val="00AC22EA"/>
    <w:rsid w:val="00AC3827"/>
    <w:rsid w:val="00AE1B80"/>
    <w:rsid w:val="00AE55BD"/>
    <w:rsid w:val="00B038C8"/>
    <w:rsid w:val="00B042B9"/>
    <w:rsid w:val="00B220A8"/>
    <w:rsid w:val="00B24696"/>
    <w:rsid w:val="00B25381"/>
    <w:rsid w:val="00B324C8"/>
    <w:rsid w:val="00B345E5"/>
    <w:rsid w:val="00B36502"/>
    <w:rsid w:val="00B37963"/>
    <w:rsid w:val="00B46556"/>
    <w:rsid w:val="00B469C7"/>
    <w:rsid w:val="00B6140B"/>
    <w:rsid w:val="00B62DEE"/>
    <w:rsid w:val="00B67DF8"/>
    <w:rsid w:val="00B75188"/>
    <w:rsid w:val="00B902C6"/>
    <w:rsid w:val="00BA5995"/>
    <w:rsid w:val="00BC2EA7"/>
    <w:rsid w:val="00BD5A64"/>
    <w:rsid w:val="00BD6004"/>
    <w:rsid w:val="00BF0022"/>
    <w:rsid w:val="00C003EC"/>
    <w:rsid w:val="00C16FC6"/>
    <w:rsid w:val="00C17FDE"/>
    <w:rsid w:val="00C22CC9"/>
    <w:rsid w:val="00C40E97"/>
    <w:rsid w:val="00C41613"/>
    <w:rsid w:val="00C41D72"/>
    <w:rsid w:val="00C420A2"/>
    <w:rsid w:val="00C562F5"/>
    <w:rsid w:val="00C649BD"/>
    <w:rsid w:val="00C711A6"/>
    <w:rsid w:val="00C90184"/>
    <w:rsid w:val="00C91B39"/>
    <w:rsid w:val="00C9742E"/>
    <w:rsid w:val="00CB20AB"/>
    <w:rsid w:val="00CC5405"/>
    <w:rsid w:val="00D05B39"/>
    <w:rsid w:val="00D24B8A"/>
    <w:rsid w:val="00D30CF8"/>
    <w:rsid w:val="00D37CA0"/>
    <w:rsid w:val="00D40080"/>
    <w:rsid w:val="00D6324B"/>
    <w:rsid w:val="00D73AD8"/>
    <w:rsid w:val="00D821F4"/>
    <w:rsid w:val="00D82C9B"/>
    <w:rsid w:val="00D852A5"/>
    <w:rsid w:val="00D939AE"/>
    <w:rsid w:val="00DE5F3F"/>
    <w:rsid w:val="00DF1ED3"/>
    <w:rsid w:val="00DF6815"/>
    <w:rsid w:val="00E25A8C"/>
    <w:rsid w:val="00E46244"/>
    <w:rsid w:val="00E47E6D"/>
    <w:rsid w:val="00E75FD0"/>
    <w:rsid w:val="00E85679"/>
    <w:rsid w:val="00E93740"/>
    <w:rsid w:val="00E961D2"/>
    <w:rsid w:val="00EA15AD"/>
    <w:rsid w:val="00EA28F8"/>
    <w:rsid w:val="00EB04AA"/>
    <w:rsid w:val="00ED3DBB"/>
    <w:rsid w:val="00ED4B3F"/>
    <w:rsid w:val="00ED6ED9"/>
    <w:rsid w:val="00EE32BA"/>
    <w:rsid w:val="00EE71D9"/>
    <w:rsid w:val="00F008AC"/>
    <w:rsid w:val="00F10E84"/>
    <w:rsid w:val="00F11691"/>
    <w:rsid w:val="00F3085D"/>
    <w:rsid w:val="00F407A9"/>
    <w:rsid w:val="00F71714"/>
    <w:rsid w:val="00F92324"/>
    <w:rsid w:val="00FA5606"/>
    <w:rsid w:val="00FC66FE"/>
    <w:rsid w:val="00FE06C8"/>
    <w:rsid w:val="00FE511B"/>
    <w:rsid w:val="00FE72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F8707-9D87-422B-BC97-E8C72B26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0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F10E84"/>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2690C"/>
    <w:pPr>
      <w:spacing w:before="100" w:beforeAutospacing="1" w:after="100" w:afterAutospacing="1"/>
    </w:pPr>
  </w:style>
  <w:style w:type="paragraph" w:styleId="Prrafodelista">
    <w:name w:val="List Paragraph"/>
    <w:basedOn w:val="Normal"/>
    <w:uiPriority w:val="34"/>
    <w:qFormat/>
    <w:rsid w:val="0062690C"/>
    <w:pPr>
      <w:ind w:left="720"/>
      <w:contextualSpacing/>
    </w:pPr>
  </w:style>
  <w:style w:type="character" w:styleId="Hipervnculo">
    <w:name w:val="Hyperlink"/>
    <w:basedOn w:val="Fuentedeprrafopredeter"/>
    <w:uiPriority w:val="99"/>
    <w:unhideWhenUsed/>
    <w:rsid w:val="0062690C"/>
    <w:rPr>
      <w:color w:val="0000FF" w:themeColor="hyperlink"/>
      <w:u w:val="single"/>
    </w:rPr>
  </w:style>
  <w:style w:type="paragraph" w:customStyle="1" w:styleId="Default">
    <w:name w:val="Default"/>
    <w:rsid w:val="00802F2F"/>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D632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5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7DB"/>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B24696"/>
    <w:pPr>
      <w:tabs>
        <w:tab w:val="center" w:pos="4252"/>
        <w:tab w:val="right" w:pos="8504"/>
      </w:tabs>
    </w:pPr>
  </w:style>
  <w:style w:type="character" w:customStyle="1" w:styleId="EncabezadoCar">
    <w:name w:val="Encabezado Car"/>
    <w:basedOn w:val="Fuentedeprrafopredeter"/>
    <w:link w:val="Encabezado"/>
    <w:uiPriority w:val="99"/>
    <w:rsid w:val="00B2469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4696"/>
    <w:pPr>
      <w:tabs>
        <w:tab w:val="center" w:pos="4252"/>
        <w:tab w:val="right" w:pos="8504"/>
      </w:tabs>
    </w:pPr>
  </w:style>
  <w:style w:type="character" w:customStyle="1" w:styleId="PiedepginaCar">
    <w:name w:val="Pie de página Car"/>
    <w:basedOn w:val="Fuentedeprrafopredeter"/>
    <w:link w:val="Piedepgina"/>
    <w:uiPriority w:val="99"/>
    <w:rsid w:val="00B24696"/>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E7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75FD0"/>
    <w:rPr>
      <w:rFonts w:ascii="Courier New" w:eastAsia="Times New Roman" w:hAnsi="Courier New" w:cs="Courier New"/>
      <w:sz w:val="20"/>
      <w:szCs w:val="20"/>
      <w:lang w:eastAsia="es-ES"/>
    </w:rPr>
  </w:style>
  <w:style w:type="character" w:customStyle="1" w:styleId="y2iqfc">
    <w:name w:val="y2iqfc"/>
    <w:basedOn w:val="Fuentedeprrafopredeter"/>
    <w:rsid w:val="00E75FD0"/>
  </w:style>
  <w:style w:type="character" w:styleId="Hipervnculovisitado">
    <w:name w:val="FollowedHyperlink"/>
    <w:basedOn w:val="Fuentedeprrafopredeter"/>
    <w:uiPriority w:val="99"/>
    <w:semiHidden/>
    <w:unhideWhenUsed/>
    <w:rsid w:val="001C710B"/>
    <w:rPr>
      <w:color w:val="800080" w:themeColor="followedHyperlink"/>
      <w:u w:val="single"/>
    </w:rPr>
  </w:style>
  <w:style w:type="character" w:customStyle="1" w:styleId="Ttulo1Car">
    <w:name w:val="Título 1 Car"/>
    <w:basedOn w:val="Fuentedeprrafopredeter"/>
    <w:link w:val="Ttulo1"/>
    <w:uiPriority w:val="9"/>
    <w:rsid w:val="00F10E84"/>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1800">
      <w:bodyDiv w:val="1"/>
      <w:marLeft w:val="0"/>
      <w:marRight w:val="0"/>
      <w:marTop w:val="0"/>
      <w:marBottom w:val="0"/>
      <w:divBdr>
        <w:top w:val="none" w:sz="0" w:space="0" w:color="auto"/>
        <w:left w:val="none" w:sz="0" w:space="0" w:color="auto"/>
        <w:bottom w:val="none" w:sz="0" w:space="0" w:color="auto"/>
        <w:right w:val="none" w:sz="0" w:space="0" w:color="auto"/>
      </w:divBdr>
    </w:div>
    <w:div w:id="661784387">
      <w:bodyDiv w:val="1"/>
      <w:marLeft w:val="0"/>
      <w:marRight w:val="0"/>
      <w:marTop w:val="0"/>
      <w:marBottom w:val="0"/>
      <w:divBdr>
        <w:top w:val="none" w:sz="0" w:space="0" w:color="auto"/>
        <w:left w:val="none" w:sz="0" w:space="0" w:color="auto"/>
        <w:bottom w:val="none" w:sz="0" w:space="0" w:color="auto"/>
        <w:right w:val="none" w:sz="0" w:space="0" w:color="auto"/>
      </w:divBdr>
    </w:div>
    <w:div w:id="1527015022">
      <w:bodyDiv w:val="1"/>
      <w:marLeft w:val="0"/>
      <w:marRight w:val="0"/>
      <w:marTop w:val="0"/>
      <w:marBottom w:val="0"/>
      <w:divBdr>
        <w:top w:val="none" w:sz="0" w:space="0" w:color="auto"/>
        <w:left w:val="none" w:sz="0" w:space="0" w:color="auto"/>
        <w:bottom w:val="none" w:sz="0" w:space="0" w:color="auto"/>
        <w:right w:val="none" w:sz="0" w:space="0" w:color="auto"/>
      </w:divBdr>
    </w:div>
    <w:div w:id="16426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741-7374" TargetMode="External"/><Relationship Id="rId13" Type="http://schemas.openxmlformats.org/officeDocument/2006/relationships/hyperlink" Target="mailto:alitc@infomed.sld.cu"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yusleidyy@infomed.sld.cu" TargetMode="External"/><Relationship Id="rId12" Type="http://schemas.openxmlformats.org/officeDocument/2006/relationships/hyperlink" Target="https://orcid.org/0000-0001-6760-9652"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eb.b.ebscohost.com/ehost/pdfviewer/pdfviewer?vid=5&amp;sid=940c5452-9a13-42b6-9c01-18bd1329235d%40pdc-v-sessmgr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tc@infomed.sld.c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niamaria68@gmail.com" TargetMode="External"/><Relationship Id="rId23" Type="http://schemas.openxmlformats.org/officeDocument/2006/relationships/fontTable" Target="fontTable.xml"/><Relationship Id="rId10" Type="http://schemas.openxmlformats.org/officeDocument/2006/relationships/hyperlink" Target="https://orcid.org/0000-0002-5276-4956" TargetMode="External"/><Relationship Id="rId19" Type="http://schemas.openxmlformats.org/officeDocument/2006/relationships/hyperlink" Target="http://web.a.ebscohost.com/ehost/pdfviewer/pdfviewer?vid=3&amp;sid=c6f0608c-a17c-4a26-8e45-69a7bda2355c%40sessionmgr4007" TargetMode="External"/><Relationship Id="rId4" Type="http://schemas.openxmlformats.org/officeDocument/2006/relationships/webSettings" Target="webSettings.xml"/><Relationship Id="rId9" Type="http://schemas.openxmlformats.org/officeDocument/2006/relationships/hyperlink" Target="mailto:yelenelias@infomed.sld.cu" TargetMode="External"/><Relationship Id="rId14" Type="http://schemas.openxmlformats.org/officeDocument/2006/relationships/hyperlink" Target="https://orcid.org/0000-0001-7366-210X"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5326</Words>
  <Characters>29293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Manuel J. Linares Alvaro</cp:lastModifiedBy>
  <cp:revision>17</cp:revision>
  <dcterms:created xsi:type="dcterms:W3CDTF">2021-05-05T17:18:00Z</dcterms:created>
  <dcterms:modified xsi:type="dcterms:W3CDTF">2021-05-28T12:18:00Z</dcterms:modified>
</cp:coreProperties>
</file>